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760"/>
      </w:pPr>
    </w:p>
    <w:p>
      <w:pPr>
        <w:spacing w:after="520"/>
        <w:jc w:val="center"/>
      </w:pPr>
      <w:r>
        <w:rPr>
          <w:rFonts w:ascii="Times New Roman" w:cs="Times New Roman" w:eastAsia="黑体" w:hAnsi="Times New Roman"/>
          <w:b/>
          <w:bCs/>
          <w:color w:val="000000"/>
          <w:sz w:val="44"/>
          <w:szCs w:val="44"/>
        </w:rPr>
        <w:t xml:space="preserve">研 究 计 划</w:t>
      </w:r>
    </w:p>
    <w:p>
      <w:pPr>
        <w:keepLines/>
        <w:spacing w:after="850" w:before="220" w:line="520" w:lineRule="exact"/>
        <w:jc w:val="center"/>
      </w:pPr>
      <w:r>
        <w:rPr>
          <w:rFonts w:ascii="Times New Roman" w:cs="Times New Roman" w:eastAsia="黑体" w:hAnsi="Times New Roman"/>
          <w:b/>
          <w:bCs/>
          <w:color w:val="000000"/>
          <w:sz w:val="34"/>
          <w:szCs w:val="34"/>
        </w:rPr>
        <w:t xml:space="preserve">面向上市公司公告风险识别的金融事件知识图谱构建与证据增强推理研究</w:t>
      </w:r>
    </w:p>
    <w:tbl>
      <w:tblPr>
        <w:tblW w:type="dxa" w:w="8000"/>
        <w:jc w:val="center"/>
        <w:tblBorders>
          <w:top w:val="single" w:color="auto" w:sz="4"/>
          <w:left w:val="single" w:color="auto" w:sz="4"/>
          <w:bottom w:val="single" w:color="auto" w:sz="4"/>
          <w:right w:val="single" w:color="auto" w:sz="4"/>
          <w:insideH w:val="single" w:color="auto" w:sz="4"/>
          <w:insideV w:val="single" w:color="auto" w:sz="4"/>
        </w:tblBorders>
      </w:tblPr>
      <w:tblGrid>
        <w:gridCol w:w="1900"/>
        <w:gridCol w:w="6100"/>
      </w:tblGrid>
      <w:tr>
        <w:trPr>
          <w:cantSplit/>
        </w:trPr>
        <w:tc>
          <w:tcPr>
            <w:tcW w:type="dxa" w:w="1900"/>
            <w:tcBorders>
              <w:top w:val="nil" w:color="FFFFFF" w:sz="0"/>
              <w:left w:val="nil" w:color="FFFFFF" w:sz="0"/>
              <w:bottom w:val="nil" w:color="FFFFFF" w:sz="0"/>
              <w:right w:val="nil" w:color="FFFFFF" w:sz="0"/>
            </w:tcBorders>
            <w:tcMar>
              <w:top w:type="dxa" w:w="110"/>
              <w:bottom w:type="dxa" w:w="110"/>
              <w:right w:type="dxa" w:w="120"/>
            </w:tcMar>
          </w:tcPr>
          <w:p>
            <w:pPr>
              <w:jc w:val="distribute"/>
            </w:pPr>
            <w:r>
              <w:rPr>
                <w:rFonts w:ascii="Times New Roman" w:cs="Times New Roman" w:eastAsia="黑体" w:hAnsi="Times New Roman"/>
                <w:b/>
                <w:bCs/>
                <w:color w:val="000000"/>
                <w:sz w:val="24"/>
                <w:szCs w:val="24"/>
              </w:rPr>
              <w:t xml:space="preserve">申 请 人</w:t>
            </w:r>
          </w:p>
        </w:tc>
        <w:tc>
          <w:tcPr>
            <w:tcW w:type="dxa" w:w="6100"/>
            <w:tcBorders>
              <w:top w:val="nil" w:color="FFFFFF" w:sz="0"/>
              <w:left w:val="nil" w:color="FFFFFF" w:sz="0"/>
              <w:bottom w:val="single" w:color="555555" w:sz="5"/>
              <w:right w:val="nil" w:color="FFFFFF" w:sz="0"/>
            </w:tcBorders>
            <w:tcMar>
              <w:top w:type="dxa" w:w="110"/>
              <w:left w:type="dxa" w:w="160"/>
              <w:bottom w:type="dxa" w:w="110"/>
              <w:right w:type="dxa" w:w="120"/>
            </w:tcMar>
          </w:tcPr>
          <w:p>
            <w:pPr>
              <w:jc w:val="center"/>
            </w:pPr>
            <w:r>
              <w:rPr>
                <w:rFonts w:ascii="Times New Roman" w:cs="Times New Roman" w:eastAsia="宋体" w:hAnsi="Times New Roman"/>
                <w:b w:val="false"/>
                <w:bCs w:val="false"/>
                <w:color w:val="000000"/>
                <w:sz w:val="24"/>
                <w:szCs w:val="24"/>
              </w:rPr>
              <w:t xml:space="preserve">数字经济专业学生（脱敏）</w:t>
            </w:r>
          </w:p>
        </w:tc>
      </w:tr>
      <w:tr>
        <w:trPr>
          <w:cantSplit/>
        </w:trPr>
        <w:tc>
          <w:tcPr>
            <w:tcW w:type="dxa" w:w="1900"/>
            <w:tcBorders>
              <w:top w:val="nil" w:color="FFFFFF" w:sz="0"/>
              <w:left w:val="nil" w:color="FFFFFF" w:sz="0"/>
              <w:bottom w:val="nil" w:color="FFFFFF" w:sz="0"/>
              <w:right w:val="nil" w:color="FFFFFF" w:sz="0"/>
            </w:tcBorders>
            <w:tcMar>
              <w:top w:type="dxa" w:w="110"/>
              <w:bottom w:type="dxa" w:w="110"/>
              <w:right w:type="dxa" w:w="120"/>
            </w:tcMar>
          </w:tcPr>
          <w:p>
            <w:pPr>
              <w:jc w:val="distribute"/>
            </w:pPr>
            <w:r>
              <w:rPr>
                <w:rFonts w:ascii="Times New Roman" w:cs="Times New Roman" w:eastAsia="黑体" w:hAnsi="Times New Roman"/>
                <w:b/>
                <w:bCs/>
                <w:color w:val="000000"/>
                <w:sz w:val="24"/>
                <w:szCs w:val="24"/>
              </w:rPr>
              <w:t xml:space="preserve">目标院系</w:t>
            </w:r>
          </w:p>
        </w:tc>
        <w:tc>
          <w:tcPr>
            <w:tcW w:type="dxa" w:w="6100"/>
            <w:tcBorders>
              <w:top w:val="nil" w:color="FFFFFF" w:sz="0"/>
              <w:left w:val="nil" w:color="FFFFFF" w:sz="0"/>
              <w:bottom w:val="single" w:color="555555" w:sz="5"/>
              <w:right w:val="nil" w:color="FFFFFF" w:sz="0"/>
            </w:tcBorders>
            <w:tcMar>
              <w:top w:type="dxa" w:w="110"/>
              <w:left w:type="dxa" w:w="160"/>
              <w:bottom w:type="dxa" w:w="110"/>
              <w:right w:type="dxa" w:w="120"/>
            </w:tcMar>
          </w:tcPr>
          <w:p>
            <w:pPr>
              <w:jc w:val="center"/>
            </w:pPr>
            <w:r>
              <w:rPr>
                <w:rFonts w:ascii="Times New Roman" w:cs="Times New Roman" w:eastAsia="宋体" w:hAnsi="Times New Roman"/>
                <w:b w:val="false"/>
                <w:bCs w:val="false"/>
                <w:color w:val="000000"/>
                <w:sz w:val="24"/>
                <w:szCs w:val="24"/>
              </w:rPr>
              <w:t xml:space="preserve">浙江大学计算机科学与技术学院</w:t>
            </w:r>
          </w:p>
        </w:tc>
      </w:tr>
      <w:tr>
        <w:trPr>
          <w:cantSplit/>
        </w:trPr>
        <w:tc>
          <w:tcPr>
            <w:tcW w:type="dxa" w:w="1900"/>
            <w:tcBorders>
              <w:top w:val="nil" w:color="FFFFFF" w:sz="0"/>
              <w:left w:val="nil" w:color="FFFFFF" w:sz="0"/>
              <w:bottom w:val="nil" w:color="FFFFFF" w:sz="0"/>
              <w:right w:val="nil" w:color="FFFFFF" w:sz="0"/>
            </w:tcBorders>
            <w:tcMar>
              <w:top w:type="dxa" w:w="110"/>
              <w:bottom w:type="dxa" w:w="110"/>
              <w:right w:type="dxa" w:w="120"/>
            </w:tcMar>
          </w:tcPr>
          <w:p>
            <w:pPr>
              <w:jc w:val="distribute"/>
            </w:pPr>
            <w:r>
              <w:rPr>
                <w:rFonts w:ascii="Times New Roman" w:cs="Times New Roman" w:eastAsia="黑体" w:hAnsi="Times New Roman"/>
                <w:b/>
                <w:bCs/>
                <w:color w:val="000000"/>
                <w:sz w:val="24"/>
                <w:szCs w:val="24"/>
              </w:rPr>
              <w:t xml:space="preserve">目标导师</w:t>
            </w:r>
          </w:p>
        </w:tc>
        <w:tc>
          <w:tcPr>
            <w:tcW w:type="dxa" w:w="6100"/>
            <w:tcBorders>
              <w:top w:val="nil" w:color="FFFFFF" w:sz="0"/>
              <w:left w:val="nil" w:color="FFFFFF" w:sz="0"/>
              <w:bottom w:val="single" w:color="555555" w:sz="5"/>
              <w:right w:val="nil" w:color="FFFFFF" w:sz="0"/>
            </w:tcBorders>
            <w:tcMar>
              <w:top w:type="dxa" w:w="110"/>
              <w:left w:type="dxa" w:w="160"/>
              <w:bottom w:type="dxa" w:w="110"/>
              <w:right w:type="dxa" w:w="120"/>
            </w:tcMar>
          </w:tcPr>
          <w:p>
            <w:pPr>
              <w:jc w:val="center"/>
            </w:pPr>
            <w:r>
              <w:rPr>
                <w:rFonts w:ascii="Times New Roman" w:cs="Times New Roman" w:eastAsia="宋体" w:hAnsi="Times New Roman"/>
                <w:b w:val="false"/>
                <w:bCs w:val="false"/>
                <w:color w:val="000000"/>
                <w:sz w:val="24"/>
                <w:szCs w:val="24"/>
              </w:rPr>
              <w:t xml:space="preserve">陈华钧 教授</w:t>
            </w:r>
          </w:p>
        </w:tc>
      </w:tr>
      <w:tr>
        <w:trPr>
          <w:cantSplit/>
        </w:trPr>
        <w:tc>
          <w:tcPr>
            <w:tcW w:type="dxa" w:w="1900"/>
            <w:tcBorders>
              <w:top w:val="nil" w:color="FFFFFF" w:sz="0"/>
              <w:left w:val="nil" w:color="FFFFFF" w:sz="0"/>
              <w:bottom w:val="nil" w:color="FFFFFF" w:sz="0"/>
              <w:right w:val="nil" w:color="FFFFFF" w:sz="0"/>
            </w:tcBorders>
            <w:tcMar>
              <w:top w:type="dxa" w:w="110"/>
              <w:bottom w:type="dxa" w:w="110"/>
              <w:right w:type="dxa" w:w="120"/>
            </w:tcMar>
          </w:tcPr>
          <w:p>
            <w:pPr>
              <w:jc w:val="distribute"/>
            </w:pPr>
            <w:r>
              <w:rPr>
                <w:rFonts w:ascii="Times New Roman" w:cs="Times New Roman" w:eastAsia="黑体" w:hAnsi="Times New Roman"/>
                <w:b/>
                <w:bCs/>
                <w:color w:val="000000"/>
                <w:sz w:val="24"/>
                <w:szCs w:val="24"/>
              </w:rPr>
              <w:t xml:space="preserve">日    期</w:t>
            </w:r>
          </w:p>
        </w:tc>
        <w:tc>
          <w:tcPr>
            <w:tcW w:type="dxa" w:w="6100"/>
            <w:tcBorders>
              <w:top w:val="nil" w:color="FFFFFF" w:sz="0"/>
              <w:left w:val="nil" w:color="FFFFFF" w:sz="0"/>
              <w:bottom w:val="single" w:color="555555" w:sz="5"/>
              <w:right w:val="nil" w:color="FFFFFF" w:sz="0"/>
            </w:tcBorders>
            <w:tcMar>
              <w:top w:type="dxa" w:w="110"/>
              <w:left w:type="dxa" w:w="160"/>
              <w:bottom w:type="dxa" w:w="110"/>
              <w:right w:type="dxa" w:w="120"/>
            </w:tcMar>
          </w:tcPr>
          <w:p>
            <w:pPr>
              <w:jc w:val="center"/>
            </w:pPr>
            <w:r>
              <w:rPr>
                <w:rFonts w:ascii="Times New Roman" w:cs="Times New Roman" w:eastAsia="宋体" w:hAnsi="Times New Roman"/>
                <w:b w:val="false"/>
                <w:bCs w:val="false"/>
                <w:color w:val="000000"/>
                <w:sz w:val="24"/>
                <w:szCs w:val="24"/>
              </w:rPr>
              <w:t xml:space="preserve">2026年8月</w:t>
            </w:r>
          </w:p>
        </w:tc>
      </w:tr>
    </w:tbl>
    <w:p>
      <w:pPr>
        <w:sectPr>
          <w:pgSz w:w="11906" w:h="16838" w:orient="portrait"/>
          <w:pgMar w:top="1417" w:right="1474" w:bottom="1417" w:left="1474" w:header="720" w:footer="720" w:gutter="0"/>
          <w:pgNumType/>
          <w:docGrid w:linePitch="360"/>
        </w:sectPr>
      </w:pPr>
    </w:p>
    <w:p>
      <w:pPr>
        <w:keepNext/>
        <w:keepLines/>
        <w:widowControl/>
        <w:spacing w:after="240" w:before="120" w:line="360" w:lineRule="atLeast"/>
        <w:outlineLvl w:val="0"/>
      </w:pPr>
      <w:r>
        <w:rPr>
          <w:rFonts w:ascii="Times New Roman" w:cs="Times New Roman" w:eastAsia="黑体" w:hAnsi="Times New Roman"/>
          <w:b/>
          <w:bCs/>
          <w:color w:val="000000"/>
          <w:sz w:val="32"/>
          <w:szCs w:val="32"/>
        </w:rPr>
        <w:t xml:space="preserve">（一）立项依据</w:t>
      </w:r>
    </w:p>
    <w:p>
      <w:pPr>
        <w:keepNext/>
        <w:keepLines/>
        <w:widowControl/>
        <w:spacing w:after="140" w:before="240" w:line="360" w:lineRule="atLeast"/>
        <w:outlineLvl w:val="1"/>
      </w:pPr>
      <w:r>
        <w:rPr>
          <w:rFonts w:ascii="Times New Roman" w:cs="Times New Roman" w:eastAsia="黑体" w:hAnsi="Times New Roman"/>
          <w:b/>
          <w:bCs/>
          <w:color w:val="000000"/>
          <w:sz w:val="28"/>
          <w:szCs w:val="28"/>
        </w:rPr>
        <w:t xml:space="preserve">1.1 研究背景与问题提出</w:t>
      </w:r>
    </w:p>
    <w:p>
      <w:pPr>
        <w:widowControl/>
        <w:spacing w:after="80" w:line="440" w:lineRule="exact"/>
        <w:ind w:firstLine="480"/>
        <w:jc w:val="both"/>
      </w:pPr>
      <w:r>
        <w:rPr>
          <w:rFonts w:ascii="Times New Roman" w:cs="Times New Roman" w:eastAsia="宋体" w:hAnsi="Times New Roman"/>
          <w:b w:val="false"/>
          <w:bCs w:val="false"/>
          <w:color w:val="000000"/>
          <w:sz w:val="24"/>
          <w:szCs w:val="24"/>
        </w:rPr>
        <w:t xml:space="preserve">上市公司公告集中记录股权质押、股权冻结、重大资产损失、破产清算和高管变动等关键事件，是理解企业经营变化与风险传播的重要公开文本。相较于行情和财务指标，公告中的事件信息具有长文本、跨句分布、多事件共存、时间更新频繁和专业表达不统一等特征。传统人工阅读能够保留上下文，但难以稳定处理大规模文档；仅依赖关键词或单句分类，又容易遗漏分散在不同段落中的事件论元及其时间关系。</w:t>
      </w:r>
    </w:p>
    <w:p>
      <w:pPr>
        <w:widowControl/>
        <w:spacing w:after="80" w:line="440" w:lineRule="exact"/>
        <w:ind w:firstLine="480"/>
        <w:jc w:val="both"/>
      </w:pPr>
      <w:r>
        <w:rPr>
          <w:rFonts w:ascii="Times New Roman" w:cs="Times New Roman" w:eastAsia="宋体" w:hAnsi="Times New Roman"/>
          <w:b w:val="false"/>
          <w:bCs w:val="false"/>
          <w:color w:val="000000"/>
          <w:sz w:val="24"/>
          <w:szCs w:val="24"/>
        </w:rPr>
        <w:t xml:space="preserve">文档级金融事件抽取为上述问题提供了结构化入口。DCFEE、Doc2EDAG 和 DocFEE 等研究已将中文金融公告转化为事件类型及其论元集合</w:t>
      </w:r>
      <w:r>
        <w:rPr>
          <w:rFonts w:ascii="Times New Roman" w:cs="Times New Roman" w:eastAsia="宋体" w:hAnsi="Times New Roman"/>
          <w:b w:val="false"/>
          <w:bCs w:val="false"/>
          <w:color w:val="000000"/>
          <w:sz w:val="19"/>
          <w:szCs w:val="19"/>
          <w:vertAlign w:val="superscript"/>
        </w:rPr>
        <w:t xml:space="preserve">[5-7]</w:t>
      </w:r>
      <w:r>
        <w:rPr>
          <w:rFonts w:ascii="Times New Roman" w:cs="Times New Roman" w:eastAsia="宋体" w:hAnsi="Times New Roman"/>
          <w:b w:val="false"/>
          <w:bCs w:val="false"/>
          <w:color w:val="000000"/>
          <w:sz w:val="24"/>
          <w:szCs w:val="24"/>
        </w:rPr>
        <w:t xml:space="preserve">。其中，DocFEE 收录 19,044 篇公告、9 类事件和 38 类论元，平均文档长度超过 2,200 个中文字符，能够较真实地反映长距离论元依赖</w:t>
      </w:r>
      <w:r>
        <w:rPr>
          <w:rFonts w:ascii="Times New Roman" w:cs="Times New Roman" w:eastAsia="宋体" w:hAnsi="Times New Roman"/>
          <w:b w:val="false"/>
          <w:bCs w:val="false"/>
          <w:color w:val="000000"/>
          <w:sz w:val="19"/>
          <w:szCs w:val="19"/>
          <w:vertAlign w:val="superscript"/>
        </w:rPr>
        <w:t xml:space="preserve">[7]</w:t>
      </w:r>
      <w:r>
        <w:rPr>
          <w:rFonts w:ascii="Times New Roman" w:cs="Times New Roman" w:eastAsia="宋体" w:hAnsi="Times New Roman"/>
          <w:b w:val="false"/>
          <w:bCs w:val="false"/>
          <w:color w:val="000000"/>
          <w:sz w:val="24"/>
          <w:szCs w:val="24"/>
        </w:rPr>
        <w:t xml:space="preserve">。然而，从公告抽取事件并不等于形成可用于风险分析的可靠知识：同一主体可能跨公告出现，事件状态会随时间更新，自动抽取结果也可能与原文冲突。若不保存来源片段、公告时间、抽取置信度和实体对齐记录，图谱中的三元组很难接受复核。</w:t>
      </w:r>
    </w:p>
    <w:p>
      <w:pPr>
        <w:widowControl/>
        <w:spacing w:after="80" w:line="440" w:lineRule="exact"/>
        <w:ind w:firstLine="480"/>
        <w:jc w:val="both"/>
      </w:pPr>
      <w:r>
        <w:rPr>
          <w:rFonts w:ascii="Times New Roman" w:cs="Times New Roman" w:eastAsia="宋体" w:hAnsi="Times New Roman"/>
          <w:b w:val="false"/>
          <w:bCs w:val="false"/>
          <w:color w:val="000000"/>
          <w:sz w:val="24"/>
          <w:szCs w:val="24"/>
        </w:rPr>
        <w:t xml:space="preserve">知识图谱能够连接企业、股东、金融机构、事件、时间和金额等要素，但专业领域构图还面临 schema 演化、实体粒度和原文证据对齐等问题。Schema-adaptable KGC 讨论了新类型不断出现时的动态 schema 适配</w:t>
      </w:r>
      <w:r>
        <w:rPr>
          <w:rFonts w:ascii="Times New Roman" w:cs="Times New Roman" w:eastAsia="宋体" w:hAnsi="Times New Roman"/>
          <w:b w:val="false"/>
          <w:bCs w:val="false"/>
          <w:color w:val="000000"/>
          <w:sz w:val="19"/>
          <w:szCs w:val="19"/>
          <w:vertAlign w:val="superscript"/>
        </w:rPr>
        <w:t xml:space="preserve">[3]</w:t>
      </w:r>
      <w:r>
        <w:rPr>
          <w:rFonts w:ascii="Times New Roman" w:cs="Times New Roman" w:eastAsia="宋体" w:hAnsi="Times New Roman"/>
          <w:b w:val="false"/>
          <w:bCs w:val="false"/>
          <w:color w:val="000000"/>
          <w:sz w:val="24"/>
          <w:szCs w:val="24"/>
        </w:rPr>
        <w:t xml:space="preserve">；K-ON 指出知识图谱以实体为基本单元，而大语言模型以 token 预测，两者存在粒度不匹配</w:t>
      </w:r>
      <w:r>
        <w:rPr>
          <w:rFonts w:ascii="Times New Roman" w:cs="Times New Roman" w:eastAsia="宋体" w:hAnsi="Times New Roman"/>
          <w:b w:val="false"/>
          <w:bCs w:val="false"/>
          <w:color w:val="000000"/>
          <w:sz w:val="19"/>
          <w:szCs w:val="19"/>
          <w:vertAlign w:val="superscript"/>
        </w:rPr>
        <w:t xml:space="preserve">[1]</w:t>
      </w:r>
      <w:r>
        <w:rPr>
          <w:rFonts w:ascii="Times New Roman" w:cs="Times New Roman" w:eastAsia="宋体" w:hAnsi="Times New Roman"/>
          <w:b w:val="false"/>
          <w:bCs w:val="false"/>
          <w:color w:val="000000"/>
          <w:sz w:val="24"/>
          <w:szCs w:val="24"/>
        </w:rPr>
        <w:t xml:space="preserve">；KAG 则通过知识图谱、原始片段互索引和混合推理提高专业知识服务的可解释性</w:t>
      </w:r>
      <w:r>
        <w:rPr>
          <w:rFonts w:ascii="Times New Roman" w:cs="Times New Roman" w:eastAsia="宋体" w:hAnsi="Times New Roman"/>
          <w:b w:val="false"/>
          <w:bCs w:val="false"/>
          <w:color w:val="000000"/>
          <w:sz w:val="19"/>
          <w:szCs w:val="19"/>
          <w:vertAlign w:val="superscript"/>
        </w:rPr>
        <w:t xml:space="preserve">[2]</w:t>
      </w:r>
      <w:r>
        <w:rPr>
          <w:rFonts w:ascii="Times New Roman" w:cs="Times New Roman" w:eastAsia="宋体" w:hAnsi="Times New Roman"/>
          <w:b w:val="false"/>
          <w:bCs w:val="false"/>
          <w:color w:val="000000"/>
          <w:sz w:val="24"/>
          <w:szCs w:val="24"/>
        </w:rPr>
        <w:t xml:space="preserve">。这些工作说明，金融事件图谱的价值不在于“把文本变成图”，而在于能否把结构化事件、时间变化和可追溯原文组织成一条可检查的证据链。</w:t>
      </w:r>
    </w:p>
    <w:p>
      <w:pPr>
        <w:widowControl/>
        <w:spacing w:after="80" w:line="440" w:lineRule="exact"/>
        <w:ind w:firstLine="480"/>
        <w:jc w:val="both"/>
      </w:pPr>
      <w:r>
        <w:rPr>
          <w:rFonts w:ascii="Times New Roman" w:cs="Times New Roman" w:eastAsia="宋体" w:hAnsi="Times New Roman"/>
          <w:b w:val="false"/>
          <w:bCs w:val="false"/>
          <w:color w:val="000000"/>
          <w:sz w:val="24"/>
          <w:szCs w:val="24"/>
        </w:rPr>
        <w:t xml:space="preserve">因此，本研究拟以公开中文上市公司公告和开放金融事件数据集为对象，依次研究文档级事件抽取、事件知识图谱构建与证据增强风险识别。研究不把“预测股价”作为直接目标，也不预设复杂模型必然优于透明基线，而是重点回答：事件能否被稳定抽取，跨公告知识能否保持时间一致，风险判断能否回到原文证据，以及模型在不确定时能否拒绝给出过强结论。</w:t>
      </w:r>
    </w:p>
    <w:p>
      <w:pPr>
        <w:keepNext/>
        <w:keepLines/>
        <w:widowControl/>
        <w:spacing w:after="140" w:before="240" w:line="360" w:lineRule="atLeast"/>
        <w:outlineLvl w:val="1"/>
      </w:pPr>
      <w:r>
        <w:rPr>
          <w:rFonts w:ascii="Times New Roman" w:cs="Times New Roman" w:eastAsia="黑体" w:hAnsi="Times New Roman"/>
          <w:b/>
          <w:bCs/>
          <w:color w:val="000000"/>
          <w:sz w:val="28"/>
          <w:szCs w:val="28"/>
        </w:rPr>
        <w:t xml:space="preserve">1.2 国内外研究现状与评述</w:t>
      </w:r>
    </w:p>
    <w:p>
      <w:pPr>
        <w:keepNext/>
        <w:keepLines/>
        <w:widowControl/>
        <w:spacing w:after="100" w:before="180" w:line="360" w:lineRule="atLeast"/>
        <w:outlineLvl w:val="2"/>
      </w:pPr>
      <w:r>
        <w:rPr>
          <w:rFonts w:ascii="Times New Roman" w:cs="Times New Roman" w:eastAsia="黑体" w:hAnsi="Times New Roman"/>
          <w:b/>
          <w:bCs/>
          <w:color w:val="000000"/>
          <w:sz w:val="25"/>
          <w:szCs w:val="25"/>
        </w:rPr>
        <w:t xml:space="preserve">1.2.1 文档级金融事件抽取</w:t>
      </w:r>
    </w:p>
    <w:p>
      <w:pPr>
        <w:widowControl/>
        <w:spacing w:after="80" w:line="440" w:lineRule="exact"/>
        <w:ind w:firstLine="480"/>
        <w:jc w:val="both"/>
      </w:pPr>
      <w:r>
        <w:rPr>
          <w:rFonts w:ascii="Times New Roman" w:cs="Times New Roman" w:eastAsia="宋体" w:hAnsi="Times New Roman"/>
          <w:b w:val="false"/>
          <w:bCs w:val="false"/>
          <w:color w:val="000000"/>
          <w:sz w:val="24"/>
          <w:szCs w:val="24"/>
        </w:rPr>
        <w:t xml:space="preserve">DCFEE 较早提出面向中文金融文档的自动标注与事件抽取框架，突破了单句事件抽取对人工标注数据的依赖</w:t>
      </w:r>
      <w:r>
        <w:rPr>
          <w:rFonts w:ascii="Times New Roman" w:cs="Times New Roman" w:eastAsia="宋体" w:hAnsi="Times New Roman"/>
          <w:b w:val="false"/>
          <w:bCs w:val="false"/>
          <w:color w:val="000000"/>
          <w:sz w:val="19"/>
          <w:szCs w:val="19"/>
          <w:vertAlign w:val="superscript"/>
        </w:rPr>
        <w:t xml:space="preserve">[5]</w:t>
      </w:r>
      <w:r>
        <w:rPr>
          <w:rFonts w:ascii="Times New Roman" w:cs="Times New Roman" w:eastAsia="宋体" w:hAnsi="Times New Roman"/>
          <w:b w:val="false"/>
          <w:bCs w:val="false"/>
          <w:color w:val="000000"/>
          <w:sz w:val="24"/>
          <w:szCs w:val="24"/>
        </w:rPr>
        <w:t xml:space="preserve">。Doc2EDAG 将文档级事件抽取表示为有向无环图生成任务，更好地处理多事件和论元跨句分布</w:t>
      </w:r>
      <w:r>
        <w:rPr>
          <w:rFonts w:ascii="Times New Roman" w:cs="Times New Roman" w:eastAsia="宋体" w:hAnsi="Times New Roman"/>
          <w:b w:val="false"/>
          <w:bCs w:val="false"/>
          <w:color w:val="000000"/>
          <w:sz w:val="19"/>
          <w:szCs w:val="19"/>
          <w:vertAlign w:val="superscript"/>
        </w:rPr>
        <w:t xml:space="preserve">[6]</w:t>
      </w:r>
      <w:r>
        <w:rPr>
          <w:rFonts w:ascii="Times New Roman" w:cs="Times New Roman" w:eastAsia="宋体" w:hAnsi="Times New Roman"/>
          <w:b w:val="false"/>
          <w:bCs w:val="false"/>
          <w:color w:val="000000"/>
          <w:sz w:val="24"/>
          <w:szCs w:val="24"/>
        </w:rPr>
        <w:t xml:space="preserve">。DocFEE 进一步以真实长公告扩展数据规模，并通过人工核验评估半自动标注质量</w:t>
      </w:r>
      <w:r>
        <w:rPr>
          <w:rFonts w:ascii="Times New Roman" w:cs="Times New Roman" w:eastAsia="宋体" w:hAnsi="Times New Roman"/>
          <w:b w:val="false"/>
          <w:bCs w:val="false"/>
          <w:color w:val="000000"/>
          <w:sz w:val="19"/>
          <w:szCs w:val="19"/>
          <w:vertAlign w:val="superscript"/>
        </w:rPr>
        <w:t xml:space="preserve">[7]</w:t>
      </w:r>
      <w:r>
        <w:rPr>
          <w:rFonts w:ascii="Times New Roman" w:cs="Times New Roman" w:eastAsia="宋体" w:hAnsi="Times New Roman"/>
          <w:b w:val="false"/>
          <w:bCs w:val="false"/>
          <w:color w:val="000000"/>
          <w:sz w:val="24"/>
          <w:szCs w:val="24"/>
        </w:rPr>
        <w:t xml:space="preserve">。这些研究为本计划提供了公开数据与可复现基线，但仍存在三类问题：不同公告中同一实体的对齐尚未闭合；预定义事件类型难以覆盖新增风险表述；抽取指标高并不意味着下游风险结论可靠。</w:t>
      </w:r>
    </w:p>
    <w:p>
      <w:pPr>
        <w:keepNext/>
        <w:keepLines/>
        <w:widowControl/>
        <w:spacing w:after="100" w:before="180" w:line="360" w:lineRule="atLeast"/>
        <w:outlineLvl w:val="2"/>
      </w:pPr>
      <w:r>
        <w:rPr>
          <w:rFonts w:ascii="Times New Roman" w:cs="Times New Roman" w:eastAsia="黑体" w:hAnsi="Times New Roman"/>
          <w:b/>
          <w:bCs/>
          <w:color w:val="000000"/>
          <w:sz w:val="25"/>
          <w:szCs w:val="25"/>
        </w:rPr>
        <w:t xml:space="preserve">1.2.2 动态知识图谱构建</w:t>
      </w:r>
    </w:p>
    <w:p>
      <w:pPr>
        <w:widowControl/>
        <w:spacing w:after="80" w:line="440" w:lineRule="exact"/>
        <w:ind w:firstLine="480"/>
        <w:jc w:val="both"/>
      </w:pPr>
      <w:r>
        <w:rPr>
          <w:rFonts w:ascii="Times New Roman" w:cs="Times New Roman" w:eastAsia="宋体" w:hAnsi="Times New Roman"/>
          <w:b w:val="false"/>
          <w:bCs w:val="false"/>
          <w:color w:val="000000"/>
          <w:sz w:val="24"/>
          <w:szCs w:val="24"/>
        </w:rPr>
        <w:t xml:space="preserve">通用文档级关系抽取研究表明，跨句推理和多实体关系是构图中的持续难点</w:t>
      </w:r>
      <w:r>
        <w:rPr>
          <w:rFonts w:ascii="Times New Roman" w:cs="Times New Roman" w:eastAsia="宋体" w:hAnsi="Times New Roman"/>
          <w:b w:val="false"/>
          <w:bCs w:val="false"/>
          <w:color w:val="000000"/>
          <w:sz w:val="19"/>
          <w:szCs w:val="19"/>
          <w:vertAlign w:val="superscript"/>
        </w:rPr>
        <w:t xml:space="preserve">[8]</w:t>
      </w:r>
      <w:r>
        <w:rPr>
          <w:rFonts w:ascii="Times New Roman" w:cs="Times New Roman" w:eastAsia="宋体" w:hAnsi="Times New Roman"/>
          <w:b w:val="false"/>
          <w:bCs w:val="false"/>
          <w:color w:val="000000"/>
          <w:sz w:val="24"/>
          <w:szCs w:val="24"/>
        </w:rPr>
        <w:t xml:space="preserve">。Schema-adaptable KGC 将 schema 横向扩展、纵向扩展和混合扩展纳入统一测试，说明静态 schema 在动态领域中的局限</w:t>
      </w:r>
      <w:r>
        <w:rPr>
          <w:rFonts w:ascii="Times New Roman" w:cs="Times New Roman" w:eastAsia="宋体" w:hAnsi="Times New Roman"/>
          <w:b w:val="false"/>
          <w:bCs w:val="false"/>
          <w:color w:val="000000"/>
          <w:sz w:val="19"/>
          <w:szCs w:val="19"/>
          <w:vertAlign w:val="superscript"/>
        </w:rPr>
        <w:t xml:space="preserve">[3]</w:t>
      </w:r>
      <w:r>
        <w:rPr>
          <w:rFonts w:ascii="Times New Roman" w:cs="Times New Roman" w:eastAsia="宋体" w:hAnsi="Times New Roman"/>
          <w:b w:val="false"/>
          <w:bCs w:val="false"/>
          <w:color w:val="000000"/>
          <w:sz w:val="24"/>
          <w:szCs w:val="24"/>
        </w:rPr>
        <w:t xml:space="preserve">。CodeKGC 则利用代码语言模型的结构先验和 schema-aware 提示进行生成式构图</w:t>
      </w:r>
      <w:r>
        <w:rPr>
          <w:rFonts w:ascii="Times New Roman" w:cs="Times New Roman" w:eastAsia="宋体" w:hAnsi="Times New Roman"/>
          <w:b w:val="false"/>
          <w:bCs w:val="false"/>
          <w:color w:val="000000"/>
          <w:sz w:val="19"/>
          <w:szCs w:val="19"/>
          <w:vertAlign w:val="superscript"/>
        </w:rPr>
        <w:t xml:space="preserve">[4]</w:t>
      </w:r>
      <w:r>
        <w:rPr>
          <w:rFonts w:ascii="Times New Roman" w:cs="Times New Roman" w:eastAsia="宋体" w:hAnsi="Times New Roman"/>
          <w:b w:val="false"/>
          <w:bCs w:val="false"/>
          <w:color w:val="000000"/>
          <w:sz w:val="24"/>
          <w:szCs w:val="24"/>
        </w:rPr>
        <w:t xml:space="preserve">。对金融公告而言，事件类型、论元角色和主体关系具有较强规则性，但业务口径和披露文本会不断变化。因此，本研究将固定核心事件 schema，同时保留“候选新类型—人工确认—版本更新”的扩展路径，不把一次抽取结果直接写入权威图谱。</w:t>
      </w:r>
    </w:p>
    <w:p>
      <w:pPr>
        <w:keepNext/>
        <w:keepLines/>
        <w:widowControl/>
        <w:spacing w:after="100" w:before="180" w:line="360" w:lineRule="atLeast"/>
        <w:outlineLvl w:val="2"/>
      </w:pPr>
      <w:r>
        <w:rPr>
          <w:rFonts w:ascii="Times New Roman" w:cs="Times New Roman" w:eastAsia="黑体" w:hAnsi="Times New Roman"/>
          <w:b/>
          <w:bCs/>
          <w:color w:val="000000"/>
          <w:sz w:val="25"/>
          <w:szCs w:val="25"/>
        </w:rPr>
        <w:t xml:space="preserve">1.2.3 时间推理与风险识别</w:t>
      </w:r>
    </w:p>
    <w:p>
      <w:pPr>
        <w:widowControl/>
        <w:spacing w:after="80" w:line="440" w:lineRule="exact"/>
        <w:ind w:firstLine="480"/>
        <w:jc w:val="both"/>
      </w:pPr>
      <w:r>
        <w:rPr>
          <w:rFonts w:ascii="Times New Roman" w:cs="Times New Roman" w:eastAsia="宋体" w:hAnsi="Times New Roman"/>
          <w:b w:val="false"/>
          <w:bCs w:val="false"/>
          <w:color w:val="000000"/>
          <w:sz w:val="24"/>
          <w:szCs w:val="24"/>
        </w:rPr>
        <w:t xml:space="preserve">金融事件不是静态事实。股权质押可能发生补充质押、解除质押或冻结，企业风险状态也会随公告更新。RE-Net 以自回归结构预测时间知识图谱中的未来交互</w:t>
      </w:r>
      <w:r>
        <w:rPr>
          <w:rFonts w:ascii="Times New Roman" w:cs="Times New Roman" w:eastAsia="宋体" w:hAnsi="Times New Roman"/>
          <w:b w:val="false"/>
          <w:bCs w:val="false"/>
          <w:color w:val="000000"/>
          <w:sz w:val="19"/>
          <w:szCs w:val="19"/>
          <w:vertAlign w:val="superscript"/>
        </w:rPr>
        <w:t xml:space="preserve">[11]</w:t>
      </w:r>
      <w:r>
        <w:rPr>
          <w:rFonts w:ascii="Times New Roman" w:cs="Times New Roman" w:eastAsia="宋体" w:hAnsi="Times New Roman"/>
          <w:b w:val="false"/>
          <w:bCs w:val="false"/>
          <w:color w:val="000000"/>
          <w:sz w:val="24"/>
          <w:szCs w:val="24"/>
        </w:rPr>
        <w:t xml:space="preserve">；TPAR 同时处理时间图谱插值与外推，并强调路径推理的可解释性与抗噪性</w:t>
      </w:r>
      <w:r>
        <w:rPr>
          <w:rFonts w:ascii="Times New Roman" w:cs="Times New Roman" w:eastAsia="宋体" w:hAnsi="Times New Roman"/>
          <w:b w:val="false"/>
          <w:bCs w:val="false"/>
          <w:color w:val="000000"/>
          <w:sz w:val="19"/>
          <w:szCs w:val="19"/>
          <w:vertAlign w:val="superscript"/>
        </w:rPr>
        <w:t xml:space="preserve">[9]</w:t>
      </w:r>
      <w:r>
        <w:rPr>
          <w:rFonts w:ascii="Times New Roman" w:cs="Times New Roman" w:eastAsia="宋体" w:hAnsi="Times New Roman"/>
          <w:b w:val="false"/>
          <w:bCs w:val="false"/>
          <w:color w:val="000000"/>
          <w:sz w:val="24"/>
          <w:szCs w:val="24"/>
        </w:rPr>
        <w:t xml:space="preserve">。但高风险场景下，强制模型对所有样本给出判断会放大错误。Selective TKGR 引入置信度估计和拒答机制，使模型能够对低置信度预测保持沉默</w:t>
      </w:r>
      <w:r>
        <w:rPr>
          <w:rFonts w:ascii="Times New Roman" w:cs="Times New Roman" w:eastAsia="宋体" w:hAnsi="Times New Roman"/>
          <w:b w:val="false"/>
          <w:bCs w:val="false"/>
          <w:color w:val="000000"/>
          <w:sz w:val="19"/>
          <w:szCs w:val="19"/>
          <w:vertAlign w:val="superscript"/>
        </w:rPr>
        <w:t xml:space="preserve">[10]</w:t>
      </w:r>
      <w:r>
        <w:rPr>
          <w:rFonts w:ascii="Times New Roman" w:cs="Times New Roman" w:eastAsia="宋体" w:hAnsi="Times New Roman"/>
          <w:b w:val="false"/>
          <w:bCs w:val="false"/>
          <w:color w:val="000000"/>
          <w:sz w:val="24"/>
          <w:szCs w:val="24"/>
        </w:rPr>
        <w:t xml:space="preserve">。本研究据此把“可选择性输出”作为风险识别的重要评价，而不是只追求覆盖率。</w:t>
      </w:r>
    </w:p>
    <w:p>
      <w:pPr>
        <w:keepNext/>
        <w:keepLines/>
        <w:widowControl/>
        <w:spacing w:after="100" w:before="180" w:line="360" w:lineRule="atLeast"/>
        <w:outlineLvl w:val="2"/>
      </w:pPr>
      <w:r>
        <w:rPr>
          <w:rFonts w:ascii="Times New Roman" w:cs="Times New Roman" w:eastAsia="黑体" w:hAnsi="Times New Roman"/>
          <w:b/>
          <w:bCs/>
          <w:color w:val="000000"/>
          <w:sz w:val="25"/>
          <w:szCs w:val="25"/>
        </w:rPr>
        <w:t xml:space="preserve">1.2.4 知识增强与证据可追溯</w:t>
      </w:r>
    </w:p>
    <w:p>
      <w:pPr>
        <w:widowControl/>
        <w:spacing w:after="80" w:line="440" w:lineRule="exact"/>
        <w:ind w:firstLine="480"/>
        <w:jc w:val="both"/>
      </w:pPr>
      <w:r>
        <w:rPr>
          <w:rFonts w:ascii="Times New Roman" w:cs="Times New Roman" w:eastAsia="宋体" w:hAnsi="Times New Roman"/>
          <w:b w:val="false"/>
          <w:bCs w:val="false"/>
          <w:color w:val="000000"/>
          <w:sz w:val="24"/>
          <w:szCs w:val="24"/>
        </w:rPr>
        <w:t xml:space="preserve">K-ON 从实体级预测角度探索知识图谱与大语言模型融合</w:t>
      </w:r>
      <w:r>
        <w:rPr>
          <w:rFonts w:ascii="Times New Roman" w:cs="Times New Roman" w:eastAsia="宋体" w:hAnsi="Times New Roman"/>
          <w:b w:val="false"/>
          <w:bCs w:val="false"/>
          <w:color w:val="000000"/>
          <w:sz w:val="19"/>
          <w:szCs w:val="19"/>
          <w:vertAlign w:val="superscript"/>
        </w:rPr>
        <w:t xml:space="preserve">[1]</w:t>
      </w:r>
      <w:r>
        <w:rPr>
          <w:rFonts w:ascii="Times New Roman" w:cs="Times New Roman" w:eastAsia="宋体" w:hAnsi="Times New Roman"/>
          <w:b w:val="false"/>
          <w:bCs w:val="false"/>
          <w:color w:val="000000"/>
          <w:sz w:val="24"/>
          <w:szCs w:val="24"/>
        </w:rPr>
        <w:t xml:space="preserve">，KAG 则将知识图谱和原始文本片段双向索引，结合逻辑形式与语义推理用于专业问答</w:t>
      </w:r>
      <w:r>
        <w:rPr>
          <w:rFonts w:ascii="Times New Roman" w:cs="Times New Roman" w:eastAsia="宋体" w:hAnsi="Times New Roman"/>
          <w:b w:val="false"/>
          <w:bCs w:val="false"/>
          <w:color w:val="000000"/>
          <w:sz w:val="19"/>
          <w:szCs w:val="19"/>
          <w:vertAlign w:val="superscript"/>
        </w:rPr>
        <w:t xml:space="preserve">[2]</w:t>
      </w:r>
      <w:r>
        <w:rPr>
          <w:rFonts w:ascii="Times New Roman" w:cs="Times New Roman" w:eastAsia="宋体" w:hAnsi="Times New Roman"/>
          <w:b w:val="false"/>
          <w:bCs w:val="false"/>
          <w:color w:val="000000"/>
          <w:sz w:val="24"/>
          <w:szCs w:val="24"/>
        </w:rPr>
        <w:t xml:space="preserve">。金融文本还包含数值、表格和多步计算，FinQA 显示金融文档理解需要同时处理文本、表格与显式推理程序</w:t>
      </w:r>
      <w:r>
        <w:rPr>
          <w:rFonts w:ascii="Times New Roman" w:cs="Times New Roman" w:eastAsia="宋体" w:hAnsi="Times New Roman"/>
          <w:b w:val="false"/>
          <w:bCs w:val="false"/>
          <w:color w:val="000000"/>
          <w:sz w:val="19"/>
          <w:szCs w:val="19"/>
          <w:vertAlign w:val="superscript"/>
        </w:rPr>
        <w:t xml:space="preserve">[12]</w:t>
      </w:r>
      <w:r>
        <w:rPr>
          <w:rFonts w:ascii="Times New Roman" w:cs="Times New Roman" w:eastAsia="宋体" w:hAnsi="Times New Roman"/>
          <w:b w:val="false"/>
          <w:bCs w:val="false"/>
          <w:color w:val="000000"/>
          <w:sz w:val="24"/>
          <w:szCs w:val="24"/>
        </w:rPr>
        <w:t xml:space="preserve">。这些工作共同提示：风险分析系统应保存“结构化事件—图路径—原文片段—数值口径”的对应关系，并对来源冲突和证据缺失进行显式标记。</w:t>
      </w:r>
    </w:p>
    <w:p>
      <w:pPr>
        <w:keepNext/>
        <w:keepLines/>
        <w:spacing w:after="80" w:before="120"/>
        <w:jc w:val="center"/>
      </w:pPr>
      <w:r>
        <w:rPr>
          <w:rFonts w:ascii="Times New Roman" w:cs="Times New Roman" w:eastAsia="宋体" w:hAnsi="Times New Roman"/>
          <w:b w:val="false"/>
          <w:bCs w:val="false"/>
          <w:color w:val="000000"/>
          <w:sz w:val="21"/>
          <w:szCs w:val="21"/>
        </w:rPr>
        <w:t xml:space="preserve">表1 代表性研究及本计划的推进空间</w:t>
      </w:r>
    </w:p>
    <w:tbl>
      <w:tblPr>
        <w:tblW w:type="dxa" w:w="8958"/>
        <w:tblBorders>
          <w:top w:val="single" w:color="auto" w:sz="4"/>
          <w:left w:val="single" w:color="auto" w:sz="4"/>
          <w:bottom w:val="single" w:color="auto" w:sz="4"/>
          <w:right w:val="single" w:color="auto" w:sz="4"/>
          <w:insideH w:val="single" w:color="auto" w:sz="4"/>
          <w:insideV w:val="single" w:color="auto" w:sz="4"/>
        </w:tblBorders>
      </w:tblPr>
      <w:tblGrid>
        <w:gridCol w:w="1650"/>
        <w:gridCol w:w="2450"/>
        <w:gridCol w:w="2400"/>
        <w:gridCol w:w="2458"/>
      </w:tblGrid>
      <w:tr>
        <w:trPr>
          <w:cantSplit/>
          <w:tblHeader/>
        </w:trPr>
        <w:tc>
          <w:tcPr>
            <w:tcW w:type="dxa" w:w="1650"/>
            <w:tcBorders>
              <w:top w:val="single" w:color="000000" w:sz="12"/>
              <w:left w:val="nil" w:color="FFFFFF" w:sz="0"/>
              <w:bottom w:val="single" w:color="000000" w:sz="6"/>
              <w:right w:val="nil" w:color="FFFFFF" w:sz="0"/>
            </w:tcBorders>
            <w:tcMar>
              <w:top w:type="dxa" w:w="80"/>
              <w:left w:type="dxa" w:w="90"/>
              <w:bottom w:type="dxa" w:w="80"/>
              <w:right w:type="dxa" w:w="90"/>
            </w:tcMar>
            <w:vAlign w:val="center"/>
          </w:tcPr>
          <w:p>
            <w:pPr>
              <w:keepLines/>
              <w:spacing w:after="0" w:line="300" w:lineRule="exact"/>
              <w:jc w:val="center"/>
            </w:pPr>
            <w:r>
              <w:rPr>
                <w:rFonts w:ascii="Times New Roman" w:cs="Times New Roman" w:eastAsia="黑体" w:hAnsi="Times New Roman"/>
                <w:b/>
                <w:bCs/>
                <w:color w:val="000000"/>
                <w:sz w:val="19"/>
                <w:szCs w:val="19"/>
              </w:rPr>
              <w:t xml:space="preserve">文献</w:t>
            </w:r>
          </w:p>
        </w:tc>
        <w:tc>
          <w:tcPr>
            <w:tcW w:type="dxa" w:w="2450"/>
            <w:tcBorders>
              <w:top w:val="single" w:color="000000" w:sz="12"/>
              <w:left w:val="nil" w:color="FFFFFF" w:sz="0"/>
              <w:bottom w:val="single" w:color="000000" w:sz="6"/>
              <w:right w:val="nil" w:color="FFFFFF" w:sz="0"/>
            </w:tcBorders>
            <w:tcMar>
              <w:top w:type="dxa" w:w="80"/>
              <w:left w:type="dxa" w:w="90"/>
              <w:bottom w:type="dxa" w:w="80"/>
              <w:right w:type="dxa" w:w="90"/>
            </w:tcMar>
            <w:vAlign w:val="center"/>
          </w:tcPr>
          <w:p>
            <w:pPr>
              <w:keepLines/>
              <w:spacing w:after="0" w:line="300" w:lineRule="exact"/>
              <w:jc w:val="center"/>
            </w:pPr>
            <w:r>
              <w:rPr>
                <w:rFonts w:ascii="Times New Roman" w:cs="Times New Roman" w:eastAsia="黑体" w:hAnsi="Times New Roman"/>
                <w:b/>
                <w:bCs/>
                <w:color w:val="000000"/>
                <w:sz w:val="19"/>
                <w:szCs w:val="19"/>
              </w:rPr>
              <w:t xml:space="preserve">研究对象与方法</w:t>
            </w:r>
          </w:p>
        </w:tc>
        <w:tc>
          <w:tcPr>
            <w:tcW w:type="dxa" w:w="2400"/>
            <w:tcBorders>
              <w:top w:val="single" w:color="000000" w:sz="12"/>
              <w:left w:val="nil" w:color="FFFFFF" w:sz="0"/>
              <w:bottom w:val="single" w:color="000000" w:sz="6"/>
              <w:right w:val="nil" w:color="FFFFFF" w:sz="0"/>
            </w:tcBorders>
            <w:tcMar>
              <w:top w:type="dxa" w:w="80"/>
              <w:left w:type="dxa" w:w="90"/>
              <w:bottom w:type="dxa" w:w="80"/>
              <w:right w:type="dxa" w:w="90"/>
            </w:tcMar>
            <w:vAlign w:val="center"/>
          </w:tcPr>
          <w:p>
            <w:pPr>
              <w:keepLines/>
              <w:spacing w:after="0" w:line="300" w:lineRule="exact"/>
              <w:jc w:val="center"/>
            </w:pPr>
            <w:r>
              <w:rPr>
                <w:rFonts w:ascii="Times New Roman" w:cs="Times New Roman" w:eastAsia="黑体" w:hAnsi="Times New Roman"/>
                <w:b/>
                <w:bCs/>
                <w:color w:val="000000"/>
                <w:sz w:val="19"/>
                <w:szCs w:val="19"/>
              </w:rPr>
              <w:t xml:space="preserve">可直接借鉴</w:t>
            </w:r>
          </w:p>
        </w:tc>
        <w:tc>
          <w:tcPr>
            <w:tcW w:type="dxa" w:w="2458"/>
            <w:tcBorders>
              <w:top w:val="single" w:color="000000" w:sz="12"/>
              <w:left w:val="nil" w:color="FFFFFF" w:sz="0"/>
              <w:bottom w:val="single" w:color="000000" w:sz="6"/>
              <w:right w:val="nil" w:color="FFFFFF" w:sz="0"/>
            </w:tcBorders>
            <w:tcMar>
              <w:top w:type="dxa" w:w="80"/>
              <w:left w:type="dxa" w:w="90"/>
              <w:bottom w:type="dxa" w:w="80"/>
              <w:right w:type="dxa" w:w="90"/>
            </w:tcMar>
            <w:vAlign w:val="center"/>
          </w:tcPr>
          <w:p>
            <w:pPr>
              <w:keepLines/>
              <w:spacing w:after="0" w:line="300" w:lineRule="exact"/>
              <w:jc w:val="center"/>
            </w:pPr>
            <w:r>
              <w:rPr>
                <w:rFonts w:ascii="Times New Roman" w:cs="Times New Roman" w:eastAsia="黑体" w:hAnsi="Times New Roman"/>
                <w:b/>
                <w:bCs/>
                <w:color w:val="000000"/>
                <w:sz w:val="19"/>
                <w:szCs w:val="19"/>
              </w:rPr>
              <w:t xml:space="preserve">尚待推进</w:t>
            </w:r>
          </w:p>
        </w:tc>
      </w:tr>
      <w:tr>
        <w:trPr>
          <w:cantSplit/>
          <w:tblHeader w:val="false"/>
        </w:trPr>
        <w:tc>
          <w:tcPr>
            <w:tcW w:type="dxa" w:w="1650"/>
            <w:tcBorders>
              <w:top w:val="nil" w:color="FFFFFF" w:sz="0"/>
              <w:left w:val="nil" w:color="FFFFFF" w:sz="0"/>
              <w:bottom w:val="nil" w:color="FFFFFF" w:sz="0"/>
              <w:right w:val="nil" w:color="FFFFFF" w:sz="0"/>
            </w:tcBorders>
            <w:tcMar>
              <w:top w:type="dxa" w:w="80"/>
              <w:left w:type="dxa" w:w="90"/>
              <w:bottom w:type="dxa" w:w="80"/>
              <w:right w:type="dxa" w:w="90"/>
            </w:tcMar>
            <w:vAlign w:val="center"/>
          </w:tcPr>
          <w:p>
            <w:pPr>
              <w:keepLines/>
              <w:spacing w:after="0" w:line="300" w:lineRule="exact"/>
              <w:jc w:val="center"/>
            </w:pPr>
            <w:r>
              <w:rPr>
                <w:rFonts w:ascii="Times New Roman" w:cs="Times New Roman" w:eastAsia="宋体" w:hAnsi="Times New Roman"/>
                <w:b w:val="false"/>
                <w:bCs w:val="false"/>
                <w:color w:val="000000"/>
                <w:sz w:val="19"/>
                <w:szCs w:val="19"/>
              </w:rPr>
              <w:t xml:space="preserve">Yang 等</w:t>
            </w:r>
            <w:r>
              <w:rPr>
                <w:rFonts w:ascii="Times New Roman" w:cs="Times New Roman" w:eastAsia="宋体" w:hAnsi="Times New Roman"/>
                <w:b w:val="false"/>
                <w:bCs w:val="false"/>
                <w:color w:val="000000"/>
                <w:sz w:val="19"/>
                <w:szCs w:val="19"/>
                <w:vertAlign w:val="superscript"/>
              </w:rPr>
              <w:t xml:space="preserve">[5]</w:t>
            </w:r>
          </w:p>
        </w:tc>
        <w:tc>
          <w:tcPr>
            <w:tcW w:type="dxa" w:w="2450"/>
            <w:tcBorders>
              <w:top w:val="nil" w:color="FFFFFF" w:sz="0"/>
              <w:left w:val="nil" w:color="FFFFFF" w:sz="0"/>
              <w:bottom w:val="nil" w:color="FFFFFF" w:sz="0"/>
              <w:right w:val="nil" w:color="FFFFFF" w:sz="0"/>
            </w:tcBorders>
            <w:tcMar>
              <w:top w:type="dxa" w:w="80"/>
              <w:left w:type="dxa" w:w="90"/>
              <w:bottom w:type="dxa" w:w="80"/>
              <w:right w:type="dxa" w:w="90"/>
            </w:tcMar>
            <w:vAlign w:val="center"/>
          </w:tcPr>
          <w:p>
            <w:pPr>
              <w:keepLines/>
              <w:spacing w:after="0" w:line="300" w:lineRule="exact"/>
              <w:jc w:val="both"/>
            </w:pPr>
            <w:r>
              <w:rPr>
                <w:rFonts w:ascii="Times New Roman" w:cs="Times New Roman" w:eastAsia="宋体" w:hAnsi="Times New Roman"/>
                <w:b w:val="false"/>
                <w:bCs w:val="false"/>
                <w:color w:val="000000"/>
                <w:sz w:val="19"/>
                <w:szCs w:val="19"/>
              </w:rPr>
              <w:t xml:space="preserve">中文金融文档；自动标注与事件抽取</w:t>
            </w:r>
          </w:p>
        </w:tc>
        <w:tc>
          <w:tcPr>
            <w:tcW w:type="dxa" w:w="2400"/>
            <w:tcBorders>
              <w:top w:val="nil" w:color="FFFFFF" w:sz="0"/>
              <w:left w:val="nil" w:color="FFFFFF" w:sz="0"/>
              <w:bottom w:val="nil" w:color="FFFFFF" w:sz="0"/>
              <w:right w:val="nil" w:color="FFFFFF" w:sz="0"/>
            </w:tcBorders>
            <w:tcMar>
              <w:top w:type="dxa" w:w="80"/>
              <w:left w:type="dxa" w:w="90"/>
              <w:bottom w:type="dxa" w:w="80"/>
              <w:right w:type="dxa" w:w="90"/>
            </w:tcMar>
            <w:vAlign w:val="center"/>
          </w:tcPr>
          <w:p>
            <w:pPr>
              <w:keepLines/>
              <w:spacing w:after="0" w:line="300" w:lineRule="exact"/>
              <w:jc w:val="both"/>
            </w:pPr>
            <w:r>
              <w:rPr>
                <w:rFonts w:ascii="Times New Roman" w:cs="Times New Roman" w:eastAsia="宋体" w:hAnsi="Times New Roman"/>
                <w:b w:val="false"/>
                <w:bCs w:val="false"/>
                <w:color w:val="000000"/>
                <w:sz w:val="19"/>
                <w:szCs w:val="19"/>
              </w:rPr>
              <w:t xml:space="preserve">金融事件 schema 与远程监督思路</w:t>
            </w:r>
          </w:p>
        </w:tc>
        <w:tc>
          <w:tcPr>
            <w:tcW w:type="dxa" w:w="2458"/>
            <w:tcBorders>
              <w:top w:val="nil" w:color="FFFFFF" w:sz="0"/>
              <w:left w:val="nil" w:color="FFFFFF" w:sz="0"/>
              <w:bottom w:val="nil" w:color="FFFFFF" w:sz="0"/>
              <w:right w:val="nil" w:color="FFFFFF" w:sz="0"/>
            </w:tcBorders>
            <w:tcMar>
              <w:top w:type="dxa" w:w="80"/>
              <w:left w:type="dxa" w:w="90"/>
              <w:bottom w:type="dxa" w:w="80"/>
              <w:right w:type="dxa" w:w="90"/>
            </w:tcMar>
            <w:vAlign w:val="center"/>
          </w:tcPr>
          <w:p>
            <w:pPr>
              <w:keepLines/>
              <w:spacing w:after="0" w:line="300" w:lineRule="exact"/>
              <w:jc w:val="both"/>
            </w:pPr>
            <w:r>
              <w:rPr>
                <w:rFonts w:ascii="Times New Roman" w:cs="Times New Roman" w:eastAsia="宋体" w:hAnsi="Times New Roman"/>
                <w:b w:val="false"/>
                <w:bCs w:val="false"/>
                <w:color w:val="000000"/>
                <w:sz w:val="19"/>
                <w:szCs w:val="19"/>
              </w:rPr>
              <w:t xml:space="preserve">长文本、多事件与证据追溯</w:t>
            </w:r>
          </w:p>
        </w:tc>
      </w:tr>
      <w:tr>
        <w:trPr>
          <w:cantSplit/>
          <w:tblHeader w:val="false"/>
        </w:trPr>
        <w:tc>
          <w:tcPr>
            <w:tcW w:type="dxa" w:w="1650"/>
            <w:tcBorders>
              <w:top w:val="nil" w:color="FFFFFF" w:sz="0"/>
              <w:left w:val="nil" w:color="FFFFFF" w:sz="0"/>
              <w:bottom w:val="nil" w:color="FFFFFF" w:sz="0"/>
              <w:right w:val="nil" w:color="FFFFFF" w:sz="0"/>
            </w:tcBorders>
            <w:tcMar>
              <w:top w:type="dxa" w:w="80"/>
              <w:left w:type="dxa" w:w="90"/>
              <w:bottom w:type="dxa" w:w="80"/>
              <w:right w:type="dxa" w:w="90"/>
            </w:tcMar>
            <w:vAlign w:val="center"/>
          </w:tcPr>
          <w:p>
            <w:pPr>
              <w:keepLines/>
              <w:spacing w:after="0" w:line="300" w:lineRule="exact"/>
              <w:jc w:val="center"/>
            </w:pPr>
            <w:r>
              <w:rPr>
                <w:rFonts w:ascii="Times New Roman" w:cs="Times New Roman" w:eastAsia="宋体" w:hAnsi="Times New Roman"/>
                <w:b w:val="false"/>
                <w:bCs w:val="false"/>
                <w:color w:val="000000"/>
                <w:sz w:val="19"/>
                <w:szCs w:val="19"/>
              </w:rPr>
              <w:t xml:space="preserve">Zheng 等</w:t>
            </w:r>
            <w:r>
              <w:rPr>
                <w:rFonts w:ascii="Times New Roman" w:cs="Times New Roman" w:eastAsia="宋体" w:hAnsi="Times New Roman"/>
                <w:b w:val="false"/>
                <w:bCs w:val="false"/>
                <w:color w:val="000000"/>
                <w:sz w:val="19"/>
                <w:szCs w:val="19"/>
                <w:vertAlign w:val="superscript"/>
              </w:rPr>
              <w:t xml:space="preserve">[6]</w:t>
            </w:r>
          </w:p>
        </w:tc>
        <w:tc>
          <w:tcPr>
            <w:tcW w:type="dxa" w:w="2450"/>
            <w:tcBorders>
              <w:top w:val="nil" w:color="FFFFFF" w:sz="0"/>
              <w:left w:val="nil" w:color="FFFFFF" w:sz="0"/>
              <w:bottom w:val="nil" w:color="FFFFFF" w:sz="0"/>
              <w:right w:val="nil" w:color="FFFFFF" w:sz="0"/>
            </w:tcBorders>
            <w:tcMar>
              <w:top w:type="dxa" w:w="80"/>
              <w:left w:type="dxa" w:w="90"/>
              <w:bottom w:type="dxa" w:w="80"/>
              <w:right w:type="dxa" w:w="90"/>
            </w:tcMar>
            <w:vAlign w:val="center"/>
          </w:tcPr>
          <w:p>
            <w:pPr>
              <w:keepLines/>
              <w:spacing w:after="0" w:line="300" w:lineRule="exact"/>
              <w:jc w:val="both"/>
            </w:pPr>
            <w:r>
              <w:rPr>
                <w:rFonts w:ascii="Times New Roman" w:cs="Times New Roman" w:eastAsia="宋体" w:hAnsi="Times New Roman"/>
                <w:b w:val="false"/>
                <w:bCs w:val="false"/>
                <w:color w:val="000000"/>
                <w:sz w:val="19"/>
                <w:szCs w:val="19"/>
              </w:rPr>
              <w:t xml:space="preserve">文档级多事件；Doc2EDAG</w:t>
            </w:r>
          </w:p>
        </w:tc>
        <w:tc>
          <w:tcPr>
            <w:tcW w:type="dxa" w:w="2400"/>
            <w:tcBorders>
              <w:top w:val="nil" w:color="FFFFFF" w:sz="0"/>
              <w:left w:val="nil" w:color="FFFFFF" w:sz="0"/>
              <w:bottom w:val="nil" w:color="FFFFFF" w:sz="0"/>
              <w:right w:val="nil" w:color="FFFFFF" w:sz="0"/>
            </w:tcBorders>
            <w:tcMar>
              <w:top w:type="dxa" w:w="80"/>
              <w:left w:type="dxa" w:w="90"/>
              <w:bottom w:type="dxa" w:w="80"/>
              <w:right w:type="dxa" w:w="90"/>
            </w:tcMar>
            <w:vAlign w:val="center"/>
          </w:tcPr>
          <w:p>
            <w:pPr>
              <w:keepLines/>
              <w:spacing w:after="0" w:line="300" w:lineRule="exact"/>
              <w:jc w:val="both"/>
            </w:pPr>
            <w:r>
              <w:rPr>
                <w:rFonts w:ascii="Times New Roman" w:cs="Times New Roman" w:eastAsia="宋体" w:hAnsi="Times New Roman"/>
                <w:b w:val="false"/>
                <w:bCs w:val="false"/>
                <w:color w:val="000000"/>
                <w:sz w:val="19"/>
                <w:szCs w:val="19"/>
              </w:rPr>
              <w:t xml:space="preserve">多事件与跨句论元组合</w:t>
            </w:r>
          </w:p>
        </w:tc>
        <w:tc>
          <w:tcPr>
            <w:tcW w:type="dxa" w:w="2458"/>
            <w:tcBorders>
              <w:top w:val="nil" w:color="FFFFFF" w:sz="0"/>
              <w:left w:val="nil" w:color="FFFFFF" w:sz="0"/>
              <w:bottom w:val="nil" w:color="FFFFFF" w:sz="0"/>
              <w:right w:val="nil" w:color="FFFFFF" w:sz="0"/>
            </w:tcBorders>
            <w:tcMar>
              <w:top w:type="dxa" w:w="80"/>
              <w:left w:type="dxa" w:w="90"/>
              <w:bottom w:type="dxa" w:w="80"/>
              <w:right w:type="dxa" w:w="90"/>
            </w:tcMar>
            <w:vAlign w:val="center"/>
          </w:tcPr>
          <w:p>
            <w:pPr>
              <w:keepLines/>
              <w:spacing w:after="0" w:line="300" w:lineRule="exact"/>
              <w:jc w:val="both"/>
            </w:pPr>
            <w:r>
              <w:rPr>
                <w:rFonts w:ascii="Times New Roman" w:cs="Times New Roman" w:eastAsia="宋体" w:hAnsi="Times New Roman"/>
                <w:b w:val="false"/>
                <w:bCs w:val="false"/>
                <w:color w:val="000000"/>
                <w:sz w:val="19"/>
                <w:szCs w:val="19"/>
              </w:rPr>
              <w:t xml:space="preserve">跨公告实体对齐和时间更新</w:t>
            </w:r>
          </w:p>
        </w:tc>
      </w:tr>
      <w:tr>
        <w:trPr>
          <w:cantSplit/>
          <w:tblHeader w:val="false"/>
        </w:trPr>
        <w:tc>
          <w:tcPr>
            <w:tcW w:type="dxa" w:w="1650"/>
            <w:tcBorders>
              <w:top w:val="nil" w:color="FFFFFF" w:sz="0"/>
              <w:left w:val="nil" w:color="FFFFFF" w:sz="0"/>
              <w:bottom w:val="nil" w:color="FFFFFF" w:sz="0"/>
              <w:right w:val="nil" w:color="FFFFFF" w:sz="0"/>
            </w:tcBorders>
            <w:tcMar>
              <w:top w:type="dxa" w:w="80"/>
              <w:left w:type="dxa" w:w="90"/>
              <w:bottom w:type="dxa" w:w="80"/>
              <w:right w:type="dxa" w:w="90"/>
            </w:tcMar>
            <w:vAlign w:val="center"/>
          </w:tcPr>
          <w:p>
            <w:pPr>
              <w:keepLines/>
              <w:spacing w:after="0" w:line="300" w:lineRule="exact"/>
              <w:jc w:val="center"/>
            </w:pPr>
            <w:r>
              <w:rPr>
                <w:rFonts w:ascii="Times New Roman" w:cs="Times New Roman" w:eastAsia="宋体" w:hAnsi="Times New Roman"/>
                <w:b w:val="false"/>
                <w:bCs w:val="false"/>
                <w:color w:val="000000"/>
                <w:sz w:val="19"/>
                <w:szCs w:val="19"/>
              </w:rPr>
              <w:t xml:space="preserve">Chen 等</w:t>
            </w:r>
            <w:r>
              <w:rPr>
                <w:rFonts w:ascii="Times New Roman" w:cs="Times New Roman" w:eastAsia="宋体" w:hAnsi="Times New Roman"/>
                <w:b w:val="false"/>
                <w:bCs w:val="false"/>
                <w:color w:val="000000"/>
                <w:sz w:val="19"/>
                <w:szCs w:val="19"/>
                <w:vertAlign w:val="superscript"/>
              </w:rPr>
              <w:t xml:space="preserve">[7]</w:t>
            </w:r>
          </w:p>
        </w:tc>
        <w:tc>
          <w:tcPr>
            <w:tcW w:type="dxa" w:w="2450"/>
            <w:tcBorders>
              <w:top w:val="nil" w:color="FFFFFF" w:sz="0"/>
              <w:left w:val="nil" w:color="FFFFFF" w:sz="0"/>
              <w:bottom w:val="nil" w:color="FFFFFF" w:sz="0"/>
              <w:right w:val="nil" w:color="FFFFFF" w:sz="0"/>
            </w:tcBorders>
            <w:tcMar>
              <w:top w:type="dxa" w:w="80"/>
              <w:left w:type="dxa" w:w="90"/>
              <w:bottom w:type="dxa" w:w="80"/>
              <w:right w:type="dxa" w:w="90"/>
            </w:tcMar>
            <w:vAlign w:val="center"/>
          </w:tcPr>
          <w:p>
            <w:pPr>
              <w:keepLines/>
              <w:spacing w:after="0" w:line="300" w:lineRule="exact"/>
              <w:jc w:val="both"/>
            </w:pPr>
            <w:r>
              <w:rPr>
                <w:rFonts w:ascii="Times New Roman" w:cs="Times New Roman" w:eastAsia="宋体" w:hAnsi="Times New Roman"/>
                <w:b w:val="false"/>
                <w:bCs w:val="false"/>
                <w:color w:val="000000"/>
                <w:sz w:val="19"/>
                <w:szCs w:val="19"/>
              </w:rPr>
              <w:t xml:space="preserve">19,044 篇真实长公告；DocFEE</w:t>
            </w:r>
          </w:p>
        </w:tc>
        <w:tc>
          <w:tcPr>
            <w:tcW w:type="dxa" w:w="2400"/>
            <w:tcBorders>
              <w:top w:val="nil" w:color="FFFFFF" w:sz="0"/>
              <w:left w:val="nil" w:color="FFFFFF" w:sz="0"/>
              <w:bottom w:val="nil" w:color="FFFFFF" w:sz="0"/>
              <w:right w:val="nil" w:color="FFFFFF" w:sz="0"/>
            </w:tcBorders>
            <w:tcMar>
              <w:top w:type="dxa" w:w="80"/>
              <w:left w:type="dxa" w:w="90"/>
              <w:bottom w:type="dxa" w:w="80"/>
              <w:right w:type="dxa" w:w="90"/>
            </w:tcMar>
            <w:vAlign w:val="center"/>
          </w:tcPr>
          <w:p>
            <w:pPr>
              <w:keepLines/>
              <w:spacing w:after="0" w:line="300" w:lineRule="exact"/>
              <w:jc w:val="both"/>
            </w:pPr>
            <w:r>
              <w:rPr>
                <w:rFonts w:ascii="Times New Roman" w:cs="Times New Roman" w:eastAsia="宋体" w:hAnsi="Times New Roman"/>
                <w:b w:val="false"/>
                <w:bCs w:val="false"/>
                <w:color w:val="000000"/>
                <w:sz w:val="19"/>
                <w:szCs w:val="19"/>
              </w:rPr>
              <w:t xml:space="preserve">公开数据、长距离依赖和人工核验</w:t>
            </w:r>
          </w:p>
        </w:tc>
        <w:tc>
          <w:tcPr>
            <w:tcW w:type="dxa" w:w="2458"/>
            <w:tcBorders>
              <w:top w:val="nil" w:color="FFFFFF" w:sz="0"/>
              <w:left w:val="nil" w:color="FFFFFF" w:sz="0"/>
              <w:bottom w:val="nil" w:color="FFFFFF" w:sz="0"/>
              <w:right w:val="nil" w:color="FFFFFF" w:sz="0"/>
            </w:tcBorders>
            <w:tcMar>
              <w:top w:type="dxa" w:w="80"/>
              <w:left w:type="dxa" w:w="90"/>
              <w:bottom w:type="dxa" w:w="80"/>
              <w:right w:type="dxa" w:w="90"/>
            </w:tcMar>
            <w:vAlign w:val="center"/>
          </w:tcPr>
          <w:p>
            <w:pPr>
              <w:keepLines/>
              <w:spacing w:after="0" w:line="300" w:lineRule="exact"/>
              <w:jc w:val="both"/>
            </w:pPr>
            <w:r>
              <w:rPr>
                <w:rFonts w:ascii="Times New Roman" w:cs="Times New Roman" w:eastAsia="宋体" w:hAnsi="Times New Roman"/>
                <w:b w:val="false"/>
                <w:bCs w:val="false"/>
                <w:color w:val="000000"/>
                <w:sz w:val="19"/>
                <w:szCs w:val="19"/>
              </w:rPr>
              <w:t xml:space="preserve">从抽取走向图谱和下游风险任务</w:t>
            </w:r>
          </w:p>
        </w:tc>
      </w:tr>
      <w:tr>
        <w:trPr>
          <w:cantSplit/>
          <w:tblHeader w:val="false"/>
        </w:trPr>
        <w:tc>
          <w:tcPr>
            <w:tcW w:type="dxa" w:w="1650"/>
            <w:tcBorders>
              <w:top w:val="nil" w:color="FFFFFF" w:sz="0"/>
              <w:left w:val="nil" w:color="FFFFFF" w:sz="0"/>
              <w:bottom w:val="nil" w:color="FFFFFF" w:sz="0"/>
              <w:right w:val="nil" w:color="FFFFFF" w:sz="0"/>
            </w:tcBorders>
            <w:tcMar>
              <w:top w:type="dxa" w:w="80"/>
              <w:left w:type="dxa" w:w="90"/>
              <w:bottom w:type="dxa" w:w="80"/>
              <w:right w:type="dxa" w:w="90"/>
            </w:tcMar>
            <w:vAlign w:val="center"/>
          </w:tcPr>
          <w:p>
            <w:pPr>
              <w:keepLines/>
              <w:spacing w:after="0" w:line="300" w:lineRule="exact"/>
              <w:jc w:val="center"/>
            </w:pPr>
            <w:r>
              <w:rPr>
                <w:rFonts w:ascii="Times New Roman" w:cs="Times New Roman" w:eastAsia="宋体" w:hAnsi="Times New Roman"/>
                <w:b w:val="false"/>
                <w:bCs w:val="false"/>
                <w:color w:val="000000"/>
                <w:sz w:val="19"/>
                <w:szCs w:val="19"/>
              </w:rPr>
              <w:t xml:space="preserve">Ye 等</w:t>
            </w:r>
            <w:r>
              <w:rPr>
                <w:rFonts w:ascii="Times New Roman" w:cs="Times New Roman" w:eastAsia="宋体" w:hAnsi="Times New Roman"/>
                <w:b w:val="false"/>
                <w:bCs w:val="false"/>
                <w:color w:val="000000"/>
                <w:sz w:val="19"/>
                <w:szCs w:val="19"/>
                <w:vertAlign w:val="superscript"/>
              </w:rPr>
              <w:t xml:space="preserve">[3]</w:t>
            </w:r>
          </w:p>
        </w:tc>
        <w:tc>
          <w:tcPr>
            <w:tcW w:type="dxa" w:w="2450"/>
            <w:tcBorders>
              <w:top w:val="nil" w:color="FFFFFF" w:sz="0"/>
              <w:left w:val="nil" w:color="FFFFFF" w:sz="0"/>
              <w:bottom w:val="nil" w:color="FFFFFF" w:sz="0"/>
              <w:right w:val="nil" w:color="FFFFFF" w:sz="0"/>
            </w:tcBorders>
            <w:tcMar>
              <w:top w:type="dxa" w:w="80"/>
              <w:left w:type="dxa" w:w="90"/>
              <w:bottom w:type="dxa" w:w="80"/>
              <w:right w:type="dxa" w:w="90"/>
            </w:tcMar>
            <w:vAlign w:val="center"/>
          </w:tcPr>
          <w:p>
            <w:pPr>
              <w:keepLines/>
              <w:spacing w:after="0" w:line="300" w:lineRule="exact"/>
              <w:jc w:val="both"/>
            </w:pPr>
            <w:r>
              <w:rPr>
                <w:rFonts w:ascii="Times New Roman" w:cs="Times New Roman" w:eastAsia="宋体" w:hAnsi="Times New Roman"/>
                <w:b w:val="false"/>
                <w:bCs w:val="false"/>
                <w:color w:val="000000"/>
                <w:sz w:val="19"/>
                <w:szCs w:val="19"/>
              </w:rPr>
              <w:t xml:space="preserve">动态 schema 构图</w:t>
            </w:r>
          </w:p>
        </w:tc>
        <w:tc>
          <w:tcPr>
            <w:tcW w:type="dxa" w:w="2400"/>
            <w:tcBorders>
              <w:top w:val="nil" w:color="FFFFFF" w:sz="0"/>
              <w:left w:val="nil" w:color="FFFFFF" w:sz="0"/>
              <w:bottom w:val="nil" w:color="FFFFFF" w:sz="0"/>
              <w:right w:val="nil" w:color="FFFFFF" w:sz="0"/>
            </w:tcBorders>
            <w:tcMar>
              <w:top w:type="dxa" w:w="80"/>
              <w:left w:type="dxa" w:w="90"/>
              <w:bottom w:type="dxa" w:w="80"/>
              <w:right w:type="dxa" w:w="90"/>
            </w:tcMar>
            <w:vAlign w:val="center"/>
          </w:tcPr>
          <w:p>
            <w:pPr>
              <w:keepLines/>
              <w:spacing w:after="0" w:line="300" w:lineRule="exact"/>
              <w:jc w:val="both"/>
            </w:pPr>
            <w:r>
              <w:rPr>
                <w:rFonts w:ascii="Times New Roman" w:cs="Times New Roman" w:eastAsia="宋体" w:hAnsi="Times New Roman"/>
                <w:b w:val="false"/>
                <w:bCs w:val="false"/>
                <w:color w:val="000000"/>
                <w:sz w:val="19"/>
                <w:szCs w:val="19"/>
              </w:rPr>
              <w:t xml:space="preserve">schema 扩展与条件解码</w:t>
            </w:r>
          </w:p>
        </w:tc>
        <w:tc>
          <w:tcPr>
            <w:tcW w:type="dxa" w:w="2458"/>
            <w:tcBorders>
              <w:top w:val="nil" w:color="FFFFFF" w:sz="0"/>
              <w:left w:val="nil" w:color="FFFFFF" w:sz="0"/>
              <w:bottom w:val="nil" w:color="FFFFFF" w:sz="0"/>
              <w:right w:val="nil" w:color="FFFFFF" w:sz="0"/>
            </w:tcBorders>
            <w:tcMar>
              <w:top w:type="dxa" w:w="80"/>
              <w:left w:type="dxa" w:w="90"/>
              <w:bottom w:type="dxa" w:w="80"/>
              <w:right w:type="dxa" w:w="90"/>
            </w:tcMar>
            <w:vAlign w:val="center"/>
          </w:tcPr>
          <w:p>
            <w:pPr>
              <w:keepLines/>
              <w:spacing w:after="0" w:line="300" w:lineRule="exact"/>
              <w:jc w:val="both"/>
            </w:pPr>
            <w:r>
              <w:rPr>
                <w:rFonts w:ascii="Times New Roman" w:cs="Times New Roman" w:eastAsia="宋体" w:hAnsi="Times New Roman"/>
                <w:b w:val="false"/>
                <w:bCs w:val="false"/>
                <w:color w:val="000000"/>
                <w:sz w:val="19"/>
                <w:szCs w:val="19"/>
              </w:rPr>
              <w:t xml:space="preserve">金融事件类型的版本治理</w:t>
            </w:r>
          </w:p>
        </w:tc>
      </w:tr>
      <w:tr>
        <w:trPr>
          <w:cantSplit/>
          <w:tblHeader w:val="false"/>
        </w:trPr>
        <w:tc>
          <w:tcPr>
            <w:tcW w:type="dxa" w:w="1650"/>
            <w:tcBorders>
              <w:top w:val="nil" w:color="FFFFFF" w:sz="0"/>
              <w:left w:val="nil" w:color="FFFFFF" w:sz="0"/>
              <w:bottom w:val="nil" w:color="FFFFFF" w:sz="0"/>
              <w:right w:val="nil" w:color="FFFFFF" w:sz="0"/>
            </w:tcBorders>
            <w:tcMar>
              <w:top w:type="dxa" w:w="80"/>
              <w:left w:type="dxa" w:w="90"/>
              <w:bottom w:type="dxa" w:w="80"/>
              <w:right w:type="dxa" w:w="90"/>
            </w:tcMar>
            <w:vAlign w:val="center"/>
          </w:tcPr>
          <w:p>
            <w:pPr>
              <w:keepLines/>
              <w:spacing w:after="0" w:line="300" w:lineRule="exact"/>
              <w:jc w:val="center"/>
            </w:pPr>
            <w:r>
              <w:rPr>
                <w:rFonts w:ascii="Times New Roman" w:cs="Times New Roman" w:eastAsia="宋体" w:hAnsi="Times New Roman"/>
                <w:b w:val="false"/>
                <w:bCs w:val="false"/>
                <w:color w:val="000000"/>
                <w:sz w:val="19"/>
                <w:szCs w:val="19"/>
              </w:rPr>
              <w:t xml:space="preserve">Liang 等</w:t>
            </w:r>
            <w:r>
              <w:rPr>
                <w:rFonts w:ascii="Times New Roman" w:cs="Times New Roman" w:eastAsia="宋体" w:hAnsi="Times New Roman"/>
                <w:b w:val="false"/>
                <w:bCs w:val="false"/>
                <w:color w:val="000000"/>
                <w:sz w:val="19"/>
                <w:szCs w:val="19"/>
                <w:vertAlign w:val="superscript"/>
              </w:rPr>
              <w:t xml:space="preserve">[2]</w:t>
            </w:r>
          </w:p>
        </w:tc>
        <w:tc>
          <w:tcPr>
            <w:tcW w:type="dxa" w:w="2450"/>
            <w:tcBorders>
              <w:top w:val="nil" w:color="FFFFFF" w:sz="0"/>
              <w:left w:val="nil" w:color="FFFFFF" w:sz="0"/>
              <w:bottom w:val="nil" w:color="FFFFFF" w:sz="0"/>
              <w:right w:val="nil" w:color="FFFFFF" w:sz="0"/>
            </w:tcBorders>
            <w:tcMar>
              <w:top w:type="dxa" w:w="80"/>
              <w:left w:type="dxa" w:w="90"/>
              <w:bottom w:type="dxa" w:w="80"/>
              <w:right w:type="dxa" w:w="90"/>
            </w:tcMar>
            <w:vAlign w:val="center"/>
          </w:tcPr>
          <w:p>
            <w:pPr>
              <w:keepLines/>
              <w:spacing w:after="0" w:line="300" w:lineRule="exact"/>
              <w:jc w:val="both"/>
            </w:pPr>
            <w:r>
              <w:rPr>
                <w:rFonts w:ascii="Times New Roman" w:cs="Times New Roman" w:eastAsia="宋体" w:hAnsi="Times New Roman"/>
                <w:b w:val="false"/>
                <w:bCs w:val="false"/>
                <w:color w:val="000000"/>
                <w:sz w:val="19"/>
                <w:szCs w:val="19"/>
              </w:rPr>
              <w:t xml:space="preserve">KG＋原文片段＋混合推理</w:t>
            </w:r>
          </w:p>
        </w:tc>
        <w:tc>
          <w:tcPr>
            <w:tcW w:type="dxa" w:w="2400"/>
            <w:tcBorders>
              <w:top w:val="nil" w:color="FFFFFF" w:sz="0"/>
              <w:left w:val="nil" w:color="FFFFFF" w:sz="0"/>
              <w:bottom w:val="nil" w:color="FFFFFF" w:sz="0"/>
              <w:right w:val="nil" w:color="FFFFFF" w:sz="0"/>
            </w:tcBorders>
            <w:tcMar>
              <w:top w:type="dxa" w:w="80"/>
              <w:left w:type="dxa" w:w="90"/>
              <w:bottom w:type="dxa" w:w="80"/>
              <w:right w:type="dxa" w:w="90"/>
            </w:tcMar>
            <w:vAlign w:val="center"/>
          </w:tcPr>
          <w:p>
            <w:pPr>
              <w:keepLines/>
              <w:spacing w:after="0" w:line="300" w:lineRule="exact"/>
              <w:jc w:val="both"/>
            </w:pPr>
            <w:r>
              <w:rPr>
                <w:rFonts w:ascii="Times New Roman" w:cs="Times New Roman" w:eastAsia="宋体" w:hAnsi="Times New Roman"/>
                <w:b w:val="false"/>
                <w:bCs w:val="false"/>
                <w:color w:val="000000"/>
                <w:sz w:val="19"/>
                <w:szCs w:val="19"/>
              </w:rPr>
              <w:t xml:space="preserve">双索引与证据增强</w:t>
            </w:r>
          </w:p>
        </w:tc>
        <w:tc>
          <w:tcPr>
            <w:tcW w:type="dxa" w:w="2458"/>
            <w:tcBorders>
              <w:top w:val="nil" w:color="FFFFFF" w:sz="0"/>
              <w:left w:val="nil" w:color="FFFFFF" w:sz="0"/>
              <w:bottom w:val="nil" w:color="FFFFFF" w:sz="0"/>
              <w:right w:val="nil" w:color="FFFFFF" w:sz="0"/>
            </w:tcBorders>
            <w:tcMar>
              <w:top w:type="dxa" w:w="80"/>
              <w:left w:type="dxa" w:w="90"/>
              <w:bottom w:type="dxa" w:w="80"/>
              <w:right w:type="dxa" w:w="90"/>
            </w:tcMar>
            <w:vAlign w:val="center"/>
          </w:tcPr>
          <w:p>
            <w:pPr>
              <w:keepLines/>
              <w:spacing w:after="0" w:line="300" w:lineRule="exact"/>
              <w:jc w:val="both"/>
            </w:pPr>
            <w:r>
              <w:rPr>
                <w:rFonts w:ascii="Times New Roman" w:cs="Times New Roman" w:eastAsia="宋体" w:hAnsi="Times New Roman"/>
                <w:b w:val="false"/>
                <w:bCs w:val="false"/>
                <w:color w:val="000000"/>
                <w:sz w:val="19"/>
                <w:szCs w:val="19"/>
              </w:rPr>
              <w:t xml:space="preserve">金融公告中的来源冲突和数值口径</w:t>
            </w:r>
          </w:p>
        </w:tc>
      </w:tr>
      <w:tr>
        <w:trPr>
          <w:cantSplit/>
          <w:tblHeader w:val="false"/>
        </w:trPr>
        <w:tc>
          <w:tcPr>
            <w:tcW w:type="dxa" w:w="1650"/>
            <w:tcBorders>
              <w:top w:val="nil" w:color="FFFFFF" w:sz="0"/>
              <w:left w:val="nil" w:color="FFFFFF" w:sz="0"/>
              <w:bottom w:val="single" w:color="000000" w:sz="12"/>
              <w:right w:val="nil" w:color="FFFFFF" w:sz="0"/>
            </w:tcBorders>
            <w:tcMar>
              <w:top w:type="dxa" w:w="80"/>
              <w:left w:type="dxa" w:w="90"/>
              <w:bottom w:type="dxa" w:w="80"/>
              <w:right w:type="dxa" w:w="90"/>
            </w:tcMar>
            <w:vAlign w:val="center"/>
          </w:tcPr>
          <w:p>
            <w:pPr>
              <w:keepLines/>
              <w:spacing w:after="0" w:line="300" w:lineRule="exact"/>
              <w:jc w:val="center"/>
            </w:pPr>
            <w:r>
              <w:rPr>
                <w:rFonts w:ascii="Times New Roman" w:cs="Times New Roman" w:eastAsia="宋体" w:hAnsi="Times New Roman"/>
                <w:b w:val="false"/>
                <w:bCs w:val="false"/>
                <w:color w:val="000000"/>
                <w:sz w:val="19"/>
                <w:szCs w:val="19"/>
              </w:rPr>
              <w:t xml:space="preserve">Hou 等</w:t>
            </w:r>
            <w:r>
              <w:rPr>
                <w:rFonts w:ascii="Times New Roman" w:cs="Times New Roman" w:eastAsia="宋体" w:hAnsi="Times New Roman"/>
                <w:b w:val="false"/>
                <w:bCs w:val="false"/>
                <w:color w:val="000000"/>
                <w:sz w:val="19"/>
                <w:szCs w:val="19"/>
                <w:vertAlign w:val="superscript"/>
              </w:rPr>
              <w:t xml:space="preserve">[10]</w:t>
            </w:r>
          </w:p>
        </w:tc>
        <w:tc>
          <w:tcPr>
            <w:tcW w:type="dxa" w:w="2450"/>
            <w:tcBorders>
              <w:top w:val="nil" w:color="FFFFFF" w:sz="0"/>
              <w:left w:val="nil" w:color="FFFFFF" w:sz="0"/>
              <w:bottom w:val="single" w:color="000000" w:sz="12"/>
              <w:right w:val="nil" w:color="FFFFFF" w:sz="0"/>
            </w:tcBorders>
            <w:tcMar>
              <w:top w:type="dxa" w:w="80"/>
              <w:left w:type="dxa" w:w="90"/>
              <w:bottom w:type="dxa" w:w="80"/>
              <w:right w:type="dxa" w:w="90"/>
            </w:tcMar>
            <w:vAlign w:val="center"/>
          </w:tcPr>
          <w:p>
            <w:pPr>
              <w:keepLines/>
              <w:spacing w:after="0" w:line="300" w:lineRule="exact"/>
              <w:jc w:val="both"/>
            </w:pPr>
            <w:r>
              <w:rPr>
                <w:rFonts w:ascii="Times New Roman" w:cs="Times New Roman" w:eastAsia="宋体" w:hAnsi="Times New Roman"/>
                <w:b w:val="false"/>
                <w:bCs w:val="false"/>
                <w:color w:val="000000"/>
                <w:sz w:val="19"/>
                <w:szCs w:val="19"/>
              </w:rPr>
              <w:t xml:space="preserve">时间图谱选择性推理</w:t>
            </w:r>
          </w:p>
        </w:tc>
        <w:tc>
          <w:tcPr>
            <w:tcW w:type="dxa" w:w="2400"/>
            <w:tcBorders>
              <w:top w:val="nil" w:color="FFFFFF" w:sz="0"/>
              <w:left w:val="nil" w:color="FFFFFF" w:sz="0"/>
              <w:bottom w:val="single" w:color="000000" w:sz="12"/>
              <w:right w:val="nil" w:color="FFFFFF" w:sz="0"/>
            </w:tcBorders>
            <w:tcMar>
              <w:top w:type="dxa" w:w="80"/>
              <w:left w:type="dxa" w:w="90"/>
              <w:bottom w:type="dxa" w:w="80"/>
              <w:right w:type="dxa" w:w="90"/>
            </w:tcMar>
            <w:vAlign w:val="center"/>
          </w:tcPr>
          <w:p>
            <w:pPr>
              <w:keepLines/>
              <w:spacing w:after="0" w:line="300" w:lineRule="exact"/>
              <w:jc w:val="both"/>
            </w:pPr>
            <w:r>
              <w:rPr>
                <w:rFonts w:ascii="Times New Roman" w:cs="Times New Roman" w:eastAsia="宋体" w:hAnsi="Times New Roman"/>
                <w:b w:val="false"/>
                <w:bCs w:val="false"/>
                <w:color w:val="000000"/>
                <w:sz w:val="19"/>
                <w:szCs w:val="19"/>
              </w:rPr>
              <w:t xml:space="preserve">低置信度拒答</w:t>
            </w:r>
          </w:p>
        </w:tc>
        <w:tc>
          <w:tcPr>
            <w:tcW w:type="dxa" w:w="2458"/>
            <w:tcBorders>
              <w:top w:val="nil" w:color="FFFFFF" w:sz="0"/>
              <w:left w:val="nil" w:color="FFFFFF" w:sz="0"/>
              <w:bottom w:val="single" w:color="000000" w:sz="12"/>
              <w:right w:val="nil" w:color="FFFFFF" w:sz="0"/>
            </w:tcBorders>
            <w:tcMar>
              <w:top w:type="dxa" w:w="80"/>
              <w:left w:type="dxa" w:w="90"/>
              <w:bottom w:type="dxa" w:w="80"/>
              <w:right w:type="dxa" w:w="90"/>
            </w:tcMar>
            <w:vAlign w:val="center"/>
          </w:tcPr>
          <w:p>
            <w:pPr>
              <w:keepLines/>
              <w:spacing w:after="0" w:line="300" w:lineRule="exact"/>
              <w:jc w:val="both"/>
            </w:pPr>
            <w:r>
              <w:rPr>
                <w:rFonts w:ascii="Times New Roman" w:cs="Times New Roman" w:eastAsia="宋体" w:hAnsi="Times New Roman"/>
                <w:b w:val="false"/>
                <w:bCs w:val="false"/>
                <w:color w:val="000000"/>
                <w:sz w:val="19"/>
                <w:szCs w:val="19"/>
              </w:rPr>
              <w:t xml:space="preserve">将拒答与原文证据完整度结合</w:t>
            </w:r>
          </w:p>
        </w:tc>
      </w:tr>
    </w:tbl>
    <w:p>
      <w:pPr>
        <w:spacing w:after="100"/>
      </w:pPr>
    </w:p>
    <w:p>
      <w:pPr>
        <w:keepNext/>
        <w:spacing w:after="20" w:before="120" w:line="240" w:lineRule="atLeast"/>
        <w:jc w:val="center"/>
      </w:pPr>
      <w:r>
        <w:drawing>
          <wp:inline distT="0" distB="0" distL="0" distR="0">
            <wp:extent cx="5619750" cy="2695575"/>
            <wp:effectExtent t="0" r="0" b="0" l="0"/>
            <wp:docPr id="1" name="研究缺口与切入点" descr="研究缺口与切入点" title="研究缺口与切入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619750" cy="2695575"/>
                    </a:xfrm>
                    <a:prstGeom prst="rect">
                      <a:avLst/>
                    </a:prstGeom>
                  </pic:spPr>
                </pic:pic>
              </a:graphicData>
            </a:graphic>
          </wp:inline>
        </w:drawing>
      </w:r>
    </w:p>
    <w:p>
      <w:pPr>
        <w:keepNext w:val="false"/>
        <w:keepLines/>
        <w:spacing w:after="140" w:before="60"/>
        <w:jc w:val="center"/>
      </w:pPr>
      <w:r>
        <w:rPr>
          <w:rFonts w:ascii="Times New Roman" w:cs="Times New Roman" w:eastAsia="宋体" w:hAnsi="Times New Roman"/>
          <w:b w:val="false"/>
          <w:bCs w:val="false"/>
          <w:color w:val="000000"/>
          <w:sz w:val="21"/>
          <w:szCs w:val="21"/>
        </w:rPr>
        <w:t xml:space="preserve">图1 文献基础、未闭合问题与本研究切入点</w:t>
      </w:r>
    </w:p>
    <w:p>
      <w:pPr>
        <w:keepNext/>
        <w:keepLines/>
        <w:widowControl/>
        <w:spacing w:after="140" w:before="240" w:line="360" w:lineRule="atLeast"/>
        <w:outlineLvl w:val="1"/>
      </w:pPr>
      <w:r>
        <w:rPr>
          <w:rFonts w:ascii="Times New Roman" w:cs="Times New Roman" w:eastAsia="黑体" w:hAnsi="Times New Roman"/>
          <w:b/>
          <w:bCs/>
          <w:color w:val="000000"/>
          <w:sz w:val="28"/>
          <w:szCs w:val="28"/>
        </w:rPr>
        <w:t xml:space="preserve">1.3 拟解决的关键研究问题</w:t>
      </w:r>
    </w:p>
    <w:p>
      <w:pPr>
        <w:widowControl/>
        <w:spacing w:after="80" w:line="440" w:lineRule="exact"/>
        <w:ind w:firstLine="480"/>
        <w:jc w:val="both"/>
      </w:pPr>
      <w:r>
        <w:rPr>
          <w:rFonts w:ascii="Times New Roman" w:cs="Times New Roman" w:eastAsia="宋体" w:hAnsi="Times New Roman"/>
          <w:b/>
          <w:bCs/>
          <w:color w:val="000000"/>
          <w:sz w:val="24"/>
          <w:szCs w:val="24"/>
        </w:rPr>
        <w:t xml:space="preserve">关键研究问题一：长公告中的金融事件如何稳定抽取并保持证据可追溯？</w:t>
      </w:r>
      <w:r>
        <w:rPr>
          <w:rFonts w:ascii="Times New Roman" w:cs="Times New Roman" w:eastAsia="宋体" w:hAnsi="Times New Roman"/>
          <w:b w:val="false"/>
          <w:bCs w:val="false"/>
          <w:color w:val="000000"/>
          <w:sz w:val="24"/>
          <w:szCs w:val="24"/>
        </w:rPr>
        <w:t xml:space="preserve"> 需要比较序列标注、文档级图生成和 schema-aware 生成式抽取，评价事件类型、论元角色和事件级完整性，并为每条结构化结果保留公告标识、原文跨度、发布时间与抽取置信度。</w:t>
      </w:r>
    </w:p>
    <w:p>
      <w:pPr>
        <w:widowControl/>
        <w:spacing w:after="80" w:line="440" w:lineRule="exact"/>
        <w:ind w:firstLine="480"/>
        <w:jc w:val="both"/>
      </w:pPr>
      <w:r>
        <w:rPr>
          <w:rFonts w:ascii="Times New Roman" w:cs="Times New Roman" w:eastAsia="宋体" w:hAnsi="Times New Roman"/>
          <w:b/>
          <w:bCs/>
          <w:color w:val="000000"/>
          <w:sz w:val="24"/>
          <w:szCs w:val="24"/>
        </w:rPr>
        <w:t xml:space="preserve">关键研究问题二：跨公告事件如何形成具有时间一致性的知识图谱？</w:t>
      </w:r>
      <w:r>
        <w:rPr>
          <w:rFonts w:ascii="Times New Roman" w:cs="Times New Roman" w:eastAsia="宋体" w:hAnsi="Times New Roman"/>
          <w:b w:val="false"/>
          <w:bCs w:val="false"/>
          <w:color w:val="000000"/>
          <w:sz w:val="24"/>
          <w:szCs w:val="24"/>
        </w:rPr>
        <w:t xml:space="preserve"> 需要处理企业简称、股东与机构名称对齐，区分事件发生、披露、更新和解除时间，并在 schema 变化或来源冲突时保留版本，不以覆盖率为理由合并不确定实体。</w:t>
      </w:r>
    </w:p>
    <w:p>
      <w:pPr>
        <w:widowControl/>
        <w:spacing w:after="80" w:line="440" w:lineRule="exact"/>
        <w:ind w:firstLine="480"/>
        <w:jc w:val="both"/>
      </w:pPr>
      <w:r>
        <w:rPr>
          <w:rFonts w:ascii="Times New Roman" w:cs="Times New Roman" w:eastAsia="宋体" w:hAnsi="Times New Roman"/>
          <w:b/>
          <w:bCs/>
          <w:color w:val="000000"/>
          <w:sz w:val="24"/>
          <w:szCs w:val="24"/>
        </w:rPr>
        <w:t xml:space="preserve">关键研究问题三：结构化事件与原文证据能否共同提高风险识别的可靠性？</w:t>
      </w:r>
      <w:r>
        <w:rPr>
          <w:rFonts w:ascii="Times New Roman" w:cs="Times New Roman" w:eastAsia="宋体" w:hAnsi="Times New Roman"/>
          <w:b w:val="false"/>
          <w:bCs w:val="false"/>
          <w:color w:val="000000"/>
          <w:sz w:val="24"/>
          <w:szCs w:val="24"/>
        </w:rPr>
        <w:t xml:space="preserve"> 研究将比较表格特征基线、事件图特征、图路径＋原文证据三种输入，重点检查跨时间和跨企业外推、概率校准、证据覆盖率以及低置信度拒答，而不是把模型贡献直接解释为因果作用。</w:t>
      </w:r>
    </w:p>
    <w:p>
      <w:pPr>
        <w:keepNext/>
        <w:keepLines/>
        <w:widowControl/>
        <w:spacing w:after="140" w:before="240" w:line="360" w:lineRule="atLeast"/>
        <w:outlineLvl w:val="1"/>
      </w:pPr>
      <w:r>
        <w:rPr>
          <w:rFonts w:ascii="Times New Roman" w:cs="Times New Roman" w:eastAsia="黑体" w:hAnsi="Times New Roman"/>
          <w:b/>
          <w:bCs/>
          <w:color w:val="000000"/>
          <w:sz w:val="28"/>
          <w:szCs w:val="28"/>
        </w:rPr>
        <w:t xml:space="preserve">1.4 研究价值</w:t>
      </w:r>
    </w:p>
    <w:p>
      <w:pPr>
        <w:widowControl/>
        <w:spacing w:after="80" w:line="440" w:lineRule="exact"/>
        <w:ind w:firstLine="480"/>
        <w:jc w:val="both"/>
      </w:pPr>
      <w:r>
        <w:rPr>
          <w:rFonts w:ascii="Times New Roman" w:cs="Times New Roman" w:eastAsia="宋体" w:hAnsi="Times New Roman"/>
          <w:b w:val="false"/>
          <w:bCs w:val="false"/>
          <w:color w:val="000000"/>
          <w:sz w:val="24"/>
          <w:szCs w:val="24"/>
        </w:rPr>
        <w:t xml:space="preserve">理论上，本研究把金融事件抽取、动态知识组织和风险识别连接为统一证据链，讨论事件事实、时间状态与风险判断之间的层级边界。方法上，研究把事件级抽取指标、图谱一致性和选择性风险预测纳入连续评价，避免“抽取准确率高”直接替代下游可靠性。应用上，研究输出可追溯的事件记录和条件性风险提示，为金融文本分析提供可复核原型，但不替代投资、审计或监管决策。</w:t>
      </w:r>
    </w:p>
    <w:p>
      <w:pPr>
        <w:widowControl/>
        <w:spacing w:after="80" w:line="440" w:lineRule="exact"/>
        <w:ind w:firstLine="480"/>
        <w:jc w:val="both"/>
      </w:pPr>
      <w:r>
        <w:rPr>
          <w:rFonts w:ascii="Times New Roman" w:cs="Times New Roman" w:eastAsia="宋体" w:hAnsi="Times New Roman"/>
          <w:b w:val="false"/>
          <w:bCs w:val="false"/>
          <w:color w:val="000000"/>
          <w:sz w:val="24"/>
          <w:szCs w:val="24"/>
        </w:rPr>
        <w:t xml:space="preserve">在数据治理层面，本研究将来源管理嵌入模型流程。每条事件记录不仅包含事件类型和论元，还保留公告标识、发布时间、原文跨度、抽取模型与 schema 版本。这样可以区分“原文已经披露的事实”“模型依据文本形成的结构化记录”和“下游模型给出的风险判断”。当事件被补充、解除或更正时，研究保留前后版本及其关系，不覆盖历史记录。该设计有助于定位误差发生在文本抽取、实体对齐、时间组织还是风险模型，而不是在最终指标异常后才追查数据来源。</w:t>
      </w:r>
    </w:p>
    <w:p>
      <w:pPr>
        <w:widowControl/>
        <w:spacing w:after="80" w:line="440" w:lineRule="exact"/>
        <w:ind w:firstLine="480"/>
        <w:jc w:val="both"/>
      </w:pPr>
      <w:r>
        <w:rPr>
          <w:rFonts w:ascii="Times New Roman" w:cs="Times New Roman" w:eastAsia="宋体" w:hAnsi="Times New Roman"/>
          <w:b w:val="false"/>
          <w:bCs w:val="false"/>
          <w:color w:val="000000"/>
          <w:sz w:val="24"/>
          <w:szCs w:val="24"/>
        </w:rPr>
        <w:t xml:space="preserve">在评价层面，本研究强调模块间误差传递。事件类型判断正确但关键金额或时间缺失，仍可能导致图谱状态错误；图谱局部连接完整但实体被错误合并，也可能使企业风险特征被污染。因此，除分别报告抽取、构图和预测指标外，还将选取端到端样例，逐步检查公告原文、事件记录、图路径和模型输出是否一致。若下游性能提升主要来自少数高频企业或时间泄漏，则该提升不能作为方法贡献。</w:t>
      </w:r>
    </w:p>
    <w:p>
      <w:pPr>
        <w:keepNext/>
        <w:keepLines/>
        <w:widowControl/>
        <w:spacing w:after="140" w:before="240" w:line="360" w:lineRule="atLeast"/>
        <w:outlineLvl w:val="1"/>
      </w:pPr>
      <w:r>
        <w:rPr>
          <w:rFonts w:ascii="Times New Roman" w:cs="Times New Roman" w:eastAsia="黑体" w:hAnsi="Times New Roman"/>
          <w:b/>
          <w:bCs/>
          <w:color w:val="000000"/>
          <w:sz w:val="28"/>
          <w:szCs w:val="28"/>
        </w:rPr>
        <w:t xml:space="preserve">1.5 研究目标与逻辑闭环</w:t>
      </w:r>
    </w:p>
    <w:p>
      <w:pPr>
        <w:widowControl/>
        <w:spacing w:after="80" w:line="440" w:lineRule="exact"/>
        <w:ind w:firstLine="480"/>
        <w:jc w:val="both"/>
      </w:pPr>
      <w:r>
        <w:rPr>
          <w:rFonts w:ascii="Times New Roman" w:cs="Times New Roman" w:eastAsia="宋体" w:hAnsi="Times New Roman"/>
          <w:b w:val="false"/>
          <w:bCs w:val="false"/>
          <w:color w:val="000000"/>
          <w:sz w:val="24"/>
          <w:szCs w:val="24"/>
        </w:rPr>
        <w:t xml:space="preserve">本研究设置三个递进目标。第一，形成可复现的中文金融公告事件抽取基线，明确长文档、多事件、跨句论元和少样本类型的主要误差。第二，构建保留实体候选、时间状态、来源片段和版本信息的最小事件知识图谱，并给出可量化的图谱质量报告。第三，在严格时间切分和企业留出条件下，检验图结构与原文证据能否改善风险识别的校准和外推表现，并让系统对证据不足样本主动拒答。</w:t>
      </w:r>
    </w:p>
    <w:p>
      <w:pPr>
        <w:widowControl/>
        <w:spacing w:after="80" w:line="440" w:lineRule="exact"/>
        <w:ind w:firstLine="480"/>
        <w:jc w:val="both"/>
      </w:pPr>
      <w:r>
        <w:rPr>
          <w:rFonts w:ascii="Times New Roman" w:cs="Times New Roman" w:eastAsia="宋体" w:hAnsi="Times New Roman"/>
          <w:b w:val="false"/>
          <w:bCs w:val="false"/>
          <w:color w:val="000000"/>
          <w:sz w:val="24"/>
          <w:szCs w:val="24"/>
        </w:rPr>
        <w:t xml:space="preserve">三个目标构成“数据事实—知识组织—条件判断”的逻辑闭环。目标一没有达到事件级完整性要求时，只保留高置信样本进入图谱；目标二未解决来源和时间冲突时，不进入风险识别；目标三若不能在替代切分中复现，则保留透明基线并报告负结果。通过这些升级条件，研究的最终价值不依赖某个复杂模型取得最高分，而取决于每一级结论是否具有与其强度相匹配的证据。</w:t>
      </w:r>
    </w:p>
    <w:p>
      <w:pPr>
        <w:keepNext/>
        <w:keepLines/>
        <w:widowControl/>
        <w:spacing w:after="240" w:before="120" w:line="360" w:lineRule="atLeast"/>
        <w:outlineLvl w:val="0"/>
      </w:pPr>
      <w:r>
        <w:rPr>
          <w:rFonts w:ascii="Times New Roman" w:cs="Times New Roman" w:eastAsia="黑体" w:hAnsi="Times New Roman"/>
          <w:b/>
          <w:bCs/>
          <w:color w:val="000000"/>
          <w:sz w:val="32"/>
          <w:szCs w:val="32"/>
        </w:rPr>
        <w:t xml:space="preserve">（二）研究内容与研究方案</w:t>
      </w:r>
    </w:p>
    <w:p>
      <w:pPr>
        <w:keepNext/>
        <w:keepLines/>
        <w:widowControl/>
        <w:spacing w:after="140" w:before="240" w:line="360" w:lineRule="atLeast"/>
        <w:outlineLvl w:val="1"/>
      </w:pPr>
      <w:r>
        <w:rPr>
          <w:rFonts w:ascii="Times New Roman" w:cs="Times New Roman" w:eastAsia="黑体" w:hAnsi="Times New Roman"/>
          <w:b/>
          <w:bCs/>
          <w:color w:val="000000"/>
          <w:sz w:val="28"/>
          <w:szCs w:val="28"/>
        </w:rPr>
        <w:t xml:space="preserve">2.1 总体目标与研究边界</w:t>
      </w:r>
    </w:p>
    <w:p>
      <w:pPr>
        <w:widowControl/>
        <w:spacing w:after="80" w:line="440" w:lineRule="exact"/>
        <w:ind w:firstLine="480"/>
        <w:jc w:val="both"/>
      </w:pPr>
      <w:r>
        <w:rPr>
          <w:rFonts w:ascii="Times New Roman" w:cs="Times New Roman" w:eastAsia="宋体" w:hAnsi="Times New Roman"/>
          <w:b w:val="false"/>
          <w:bCs w:val="false"/>
          <w:color w:val="000000"/>
          <w:sz w:val="24"/>
          <w:szCs w:val="24"/>
        </w:rPr>
        <w:t xml:space="preserve">本研究拟构建“文档级金融事件抽取—时间事件知识图谱—证据增强风险识别”的最小可行框架，并在公开数据上评价其准确性、稳定性和可追溯性。</w:t>
      </w:r>
    </w:p>
    <w:p>
      <w:pPr>
        <w:widowControl/>
        <w:spacing w:after="80" w:line="440" w:lineRule="exact"/>
        <w:ind w:firstLine="480"/>
        <w:jc w:val="both"/>
      </w:pPr>
      <w:r>
        <w:rPr>
          <w:rFonts w:ascii="Times New Roman" w:cs="Times New Roman" w:eastAsia="宋体" w:hAnsi="Times New Roman"/>
          <w:b w:val="false"/>
          <w:bCs w:val="false"/>
          <w:color w:val="000000"/>
          <w:sz w:val="24"/>
          <w:szCs w:val="24"/>
        </w:rPr>
        <w:t xml:space="preserve">研究设置四条边界。第一，公告抽取结果是机器生成记录，未经人工核验不视为权威事实。第二，风险标签用于方法验证，不等同于企业真实违约概率或投资建议。第三，SHAP、图特征贡献和注意力权重仅解释给定模型的预测行为，不作为因果证据。第四，若数据授权、标签质量或时间覆盖不足，研究缩小为公开数据复现与方法比较，不形成现实业务结论。</w:t>
      </w:r>
    </w:p>
    <w:p>
      <w:pPr>
        <w:keepNext/>
        <w:keepLines/>
        <w:widowControl/>
        <w:spacing w:after="140" w:before="240" w:line="360" w:lineRule="atLeast"/>
        <w:outlineLvl w:val="1"/>
      </w:pPr>
      <w:r>
        <w:rPr>
          <w:rFonts w:ascii="Times New Roman" w:cs="Times New Roman" w:eastAsia="黑体" w:hAnsi="Times New Roman"/>
          <w:b/>
          <w:bCs/>
          <w:color w:val="000000"/>
          <w:sz w:val="28"/>
          <w:szCs w:val="28"/>
        </w:rPr>
        <w:t xml:space="preserve">2.2 研究内容一：金融事件 schema 与文档级抽取</w:t>
      </w:r>
    </w:p>
    <w:p>
      <w:pPr>
        <w:widowControl/>
        <w:spacing w:after="80" w:line="440" w:lineRule="exact"/>
        <w:ind w:firstLine="480"/>
        <w:jc w:val="both"/>
      </w:pPr>
      <w:r>
        <w:rPr>
          <w:rFonts w:ascii="Times New Roman" w:cs="Times New Roman" w:eastAsia="宋体" w:hAnsi="Times New Roman"/>
          <w:b w:val="false"/>
          <w:bCs w:val="false"/>
          <w:color w:val="000000"/>
          <w:sz w:val="24"/>
          <w:szCs w:val="24"/>
        </w:rPr>
        <w:t xml:space="preserve">以 DocFEE 的 9 类事件和 38 类论元为公开起点，建立事件类型、主体、客体、金额、比例、发生时间、披露时间和状态字段的数据字典。对新增类型采用候选池管理：模型提出候选，人工判断是否与已有类型同义或确属新增，再更新 schema 版本。</w:t>
      </w:r>
    </w:p>
    <w:p>
      <w:pPr>
        <w:widowControl/>
        <w:spacing w:after="80" w:line="440" w:lineRule="exact"/>
        <w:ind w:firstLine="480"/>
        <w:jc w:val="both"/>
      </w:pPr>
      <w:r>
        <w:rPr>
          <w:rFonts w:ascii="Times New Roman" w:cs="Times New Roman" w:eastAsia="宋体" w:hAnsi="Times New Roman"/>
          <w:b w:val="false"/>
          <w:bCs w:val="false"/>
          <w:color w:val="000000"/>
          <w:sz w:val="24"/>
          <w:szCs w:val="24"/>
        </w:rPr>
        <w:t xml:space="preserve">建立三类基线：（1）句级或段落级序列标注，用于观察局部模型的上限与遗漏；（2）Doc2EDAG 类文档级抽取，用于处理多事件和跨句论元；（3）schema-aware 生成式抽取，用于检验新增类型和结构约束。评价包括事件类型宏平均 F1、论元 F1、事件级完整率、跨句论元召回率和无效结构率，并进行公告长度、事件数量与少样本类型分组分析。</w:t>
      </w:r>
    </w:p>
    <w:p>
      <w:pPr>
        <w:keepNext/>
        <w:keepLines/>
        <w:widowControl/>
        <w:spacing w:after="140" w:before="240" w:line="360" w:lineRule="atLeast"/>
        <w:outlineLvl w:val="1"/>
      </w:pPr>
      <w:r>
        <w:rPr>
          <w:rFonts w:ascii="Times New Roman" w:cs="Times New Roman" w:eastAsia="黑体" w:hAnsi="Times New Roman"/>
          <w:b/>
          <w:bCs/>
          <w:color w:val="000000"/>
          <w:sz w:val="28"/>
          <w:szCs w:val="28"/>
        </w:rPr>
        <w:t xml:space="preserve">2.3 研究内容二：时间事件知识图谱构建</w:t>
      </w:r>
    </w:p>
    <w:p>
      <w:pPr>
        <w:widowControl/>
        <w:spacing w:after="80" w:line="440" w:lineRule="exact"/>
        <w:ind w:firstLine="480"/>
        <w:jc w:val="both"/>
      </w:pPr>
      <w:r>
        <w:rPr>
          <w:rFonts w:ascii="Times New Roman" w:cs="Times New Roman" w:eastAsia="宋体" w:hAnsi="Times New Roman"/>
          <w:b w:val="false"/>
          <w:bCs w:val="false"/>
          <w:color w:val="000000"/>
          <w:sz w:val="24"/>
          <w:szCs w:val="24"/>
        </w:rPr>
        <w:t xml:space="preserve">将抽取结果组织为“企业—事件—参与主体—时间—数值—来源”图结构。企业实体以证券代码为主键，名称作为时间相关属性；自然人、机构和子公司实体使用标准化名称与上下文约束进行候选对齐。对低置信度对齐保留独立节点和候选链接，避免错误合并在图中扩散。</w:t>
      </w:r>
    </w:p>
    <w:p>
      <w:pPr>
        <w:widowControl/>
        <w:spacing w:after="80" w:line="440" w:lineRule="exact"/>
        <w:ind w:firstLine="480"/>
        <w:jc w:val="both"/>
      </w:pPr>
      <w:r>
        <w:rPr>
          <w:rFonts w:ascii="Times New Roman" w:cs="Times New Roman" w:eastAsia="宋体" w:hAnsi="Times New Roman"/>
          <w:b w:val="false"/>
          <w:bCs w:val="false"/>
          <w:color w:val="000000"/>
          <w:sz w:val="24"/>
          <w:szCs w:val="24"/>
        </w:rPr>
        <w:t xml:space="preserve">事件节点同时记录发生时间、披露时间和状态更新时间。对同一事件的补充公告、进展公告和解除公告建立 `updates` 或 `resolves` 关系，并保存来源文档与原文跨度。图谱质量通过实体对齐准确率、时间冲突率、重复事件率、来源覆盖率和抽样人工复核一致性评价。</w:t>
      </w:r>
    </w:p>
    <w:p>
      <w:pPr>
        <w:keepNext/>
        <w:spacing w:after="20" w:before="120" w:line="240" w:lineRule="atLeast"/>
        <w:jc w:val="center"/>
      </w:pPr>
      <w:r>
        <w:drawing>
          <wp:inline distT="0" distB="0" distL="0" distR="0">
            <wp:extent cx="5619750" cy="2847975"/>
            <wp:effectExtent t="0" r="0" b="0" l="0"/>
            <wp:docPr id="1" name="事件知识图谱与证据链" descr="事件知识图谱与证据链" title="事件知识图谱与证据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619750" cy="2847975"/>
                    </a:xfrm>
                    <a:prstGeom prst="rect">
                      <a:avLst/>
                    </a:prstGeom>
                  </pic:spPr>
                </pic:pic>
              </a:graphicData>
            </a:graphic>
          </wp:inline>
        </w:drawing>
      </w:r>
    </w:p>
    <w:p>
      <w:pPr>
        <w:keepNext w:val="false"/>
        <w:keepLines/>
        <w:spacing w:after="140" w:before="60"/>
        <w:jc w:val="center"/>
      </w:pPr>
      <w:r>
        <w:rPr>
          <w:rFonts w:ascii="Times New Roman" w:cs="Times New Roman" w:eastAsia="宋体" w:hAnsi="Times New Roman"/>
          <w:b w:val="false"/>
          <w:bCs w:val="false"/>
          <w:color w:val="000000"/>
          <w:sz w:val="21"/>
          <w:szCs w:val="21"/>
        </w:rPr>
        <w:t xml:space="preserve">图2 金融事件图谱中的实体、时间、来源与结论边界</w:t>
      </w:r>
    </w:p>
    <w:p>
      <w:pPr>
        <w:keepNext/>
        <w:keepLines/>
        <w:widowControl/>
        <w:spacing w:after="140" w:before="240" w:line="360" w:lineRule="atLeast"/>
        <w:outlineLvl w:val="1"/>
      </w:pPr>
      <w:r>
        <w:rPr>
          <w:rFonts w:ascii="Times New Roman" w:cs="Times New Roman" w:eastAsia="黑体" w:hAnsi="Times New Roman"/>
          <w:b/>
          <w:bCs/>
          <w:color w:val="000000"/>
          <w:sz w:val="28"/>
          <w:szCs w:val="28"/>
        </w:rPr>
        <w:t xml:space="preserve">2.4 研究内容三：证据增强风险识别</w:t>
      </w:r>
    </w:p>
    <w:p>
      <w:pPr>
        <w:widowControl/>
        <w:spacing w:after="80" w:line="440" w:lineRule="exact"/>
        <w:ind w:firstLine="480"/>
        <w:jc w:val="both"/>
      </w:pPr>
      <w:r>
        <w:rPr>
          <w:rFonts w:ascii="Times New Roman" w:cs="Times New Roman" w:eastAsia="宋体" w:hAnsi="Times New Roman"/>
          <w:b w:val="false"/>
          <w:bCs w:val="false"/>
          <w:color w:val="000000"/>
          <w:sz w:val="24"/>
          <w:szCs w:val="24"/>
        </w:rPr>
        <w:t xml:space="preserve">在不构造投资建议的前提下，选择一个可公开复现的演示标签，例如未来一段时间内是否出现同类风险事件、监管关注或财务异常。设置三组输入：第一组为传统财务与公告统计特征；第二组增加事件类型、频次、时间间隔和图邻域特征；第三组进一步增加与预测相关的图路径和原文证据片段。</w:t>
      </w:r>
    </w:p>
    <w:p>
      <w:pPr>
        <w:widowControl/>
        <w:spacing w:after="80" w:line="440" w:lineRule="exact"/>
        <w:ind w:firstLine="480"/>
        <w:jc w:val="both"/>
      </w:pPr>
      <w:r>
        <w:rPr>
          <w:rFonts w:ascii="Times New Roman" w:cs="Times New Roman" w:eastAsia="宋体" w:hAnsi="Times New Roman"/>
          <w:b w:val="false"/>
          <w:bCs w:val="false"/>
          <w:color w:val="000000"/>
          <w:sz w:val="24"/>
          <w:szCs w:val="24"/>
        </w:rPr>
        <w:t xml:space="preserve">模型从逻辑回归和 LightGBM 开始，再根据数据规模比较图表示或时间图基线。数据划分采用严格时间切分，并补充企业留出验证，避免同一企业的未来信息泄露到训练集。评价除 AUC、宏平均 F1 和 Brier 分数外，还包括概率校准、跨时间性能衰减、企业留出性能、证据覆盖率和选择性预测风险。只有在加入图谱或证据后，性能与校准同时改善且在替代切分中可复现，才认为其提供了稳定增益。</w:t>
      </w:r>
    </w:p>
    <w:p>
      <w:pPr>
        <w:sectPr>
          <w:headerReference w:type="default" r:id="rId7"/>
          <w:footerReference w:type="default" r:id="rId8"/>
          <w:type w:val="nextPage"/>
          <w:pgSz w:w="11906" w:h="16838" w:orient="portrait"/>
          <w:pgMar w:top="1417" w:right="1474" w:bottom="1417" w:left="1474" w:header="720" w:footer="720" w:gutter="0"/>
          <w:pgNumType w:start="1"/>
          <w:docGrid w:linePitch="360"/>
        </w:sectPr>
      </w:pPr>
    </w:p>
    <w:p>
      <w:pPr>
        <w:keepNext/>
        <w:keepLines/>
        <w:widowControl/>
        <w:spacing w:after="140" w:before="240" w:line="360" w:lineRule="atLeast"/>
        <w:outlineLvl w:val="1"/>
      </w:pPr>
      <w:r>
        <w:rPr>
          <w:rFonts w:ascii="Times New Roman" w:cs="Times New Roman" w:eastAsia="黑体" w:hAnsi="Times New Roman"/>
          <w:b/>
          <w:bCs/>
          <w:color w:val="000000"/>
          <w:sz w:val="28"/>
          <w:szCs w:val="28"/>
        </w:rPr>
        <w:t xml:space="preserve">2.5 技术路线</w:t>
      </w:r>
    </w:p>
    <w:p>
      <w:pPr>
        <w:widowControl/>
        <w:spacing w:after="80" w:line="440" w:lineRule="exact"/>
        <w:ind w:firstLine="480"/>
        <w:jc w:val="both"/>
      </w:pPr>
      <w:r>
        <w:rPr>
          <w:rFonts w:ascii="Times New Roman" w:cs="Times New Roman" w:eastAsia="宋体" w:hAnsi="Times New Roman"/>
          <w:b w:val="false"/>
          <w:bCs w:val="false"/>
          <w:color w:val="000000"/>
          <w:sz w:val="24"/>
          <w:szCs w:val="24"/>
        </w:rPr>
        <w:t xml:space="preserve">研究按“问题界定—数据治理—事件抽取—时序图谱—风险识别—综合验证”七个阶段展开，并归入四个递进研究层。层间采用单一主轴，层内保留由抽取误差和时间冲突分析驱动的两条研究迭代；研究任务、评价指标与预期成果的对应关系如图3所示。</w:t>
      </w:r>
    </w:p>
    <w:p>
      <w:pPr>
        <w:keepNext/>
        <w:spacing w:after="10" w:before="40" w:line="240" w:lineRule="atLeast"/>
        <w:jc w:val="center"/>
      </w:pPr>
      <w:r>
        <w:drawing>
          <wp:inline distT="0" distB="0" distL="0" distR="0">
            <wp:extent cx="7229475" cy="4762500"/>
            <wp:effectExtent t="0" r="0" b="0" l="0"/>
            <wp:docPr id="1" name="上市公司公告风险识别与金融事件知识图谱研究技术路线" descr="技术路线元数据：7阶段；24子模块；2迭代回路；单一主轴；主体连线交叉0；含数据—方法—评价—产出映射；含预期研究成果；无内部审查措辞；图前有导语；图后有解释；横向分节" title="上市公司公告风险识别与金融事件知识图谱研究技术路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7229475" cy="4762500"/>
                    </a:xfrm>
                    <a:prstGeom prst="rect">
                      <a:avLst/>
                    </a:prstGeom>
                  </pic:spPr>
                </pic:pic>
              </a:graphicData>
            </a:graphic>
          </wp:inline>
        </w:drawing>
      </w:r>
    </w:p>
    <w:p>
      <w:pPr>
        <w:keepNext w:val="false"/>
        <w:keepLines/>
        <w:spacing w:after="140" w:before="60"/>
        <w:jc w:val="center"/>
      </w:pPr>
      <w:r>
        <w:rPr>
          <w:rFonts w:ascii="Times New Roman" w:cs="Times New Roman" w:eastAsia="宋体" w:hAnsi="Times New Roman"/>
          <w:b w:val="false"/>
          <w:bCs w:val="false"/>
          <w:color w:val="000000"/>
          <w:sz w:val="21"/>
          <w:szCs w:val="21"/>
        </w:rPr>
        <w:t xml:space="preserve">图3 上市公司公告风险识别与金融事件知识图谱研究技术路线</w:t>
      </w:r>
    </w:p>
    <w:p>
      <w:pPr>
        <w:sectPr>
          <w:headerReference w:type="default" r:id="rId9"/>
          <w:footerReference w:type="default" r:id="rId10"/>
          <w:type w:val="nextPage"/>
          <w:pgSz w:w="16838" w:h="11906" w:orient="landscape"/>
          <w:pgMar w:top="540" w:right="720" w:bottom="360" w:left="720" w:header="240" w:footer="240" w:gutter="0"/>
          <w:pgNumType/>
          <w:docGrid w:linePitch="360"/>
        </w:sectPr>
      </w:pPr>
    </w:p>
    <w:p>
      <w:pPr>
        <w:widowControl/>
        <w:spacing w:after="80" w:line="440" w:lineRule="exact"/>
        <w:ind w:firstLine="480"/>
        <w:jc w:val="both"/>
      </w:pPr>
      <w:r>
        <w:rPr>
          <w:rFonts w:ascii="Times New Roman" w:cs="Times New Roman" w:eastAsia="宋体" w:hAnsi="Times New Roman"/>
          <w:b w:val="false"/>
          <w:bCs w:val="false"/>
          <w:color w:val="000000"/>
          <w:sz w:val="24"/>
          <w:szCs w:val="24"/>
        </w:rPr>
        <w:t xml:space="preserve">图3不仅给出研究推进顺序，还把每一阶段的研究对象、技术任务、评价指标和预期成果对应起来。其中，两条局部迭代分别由事件抽取误差和时间冲突分析驱动：前者用于修订标注规范并优化抽取模型，后者用于改进实体对齐与版本关系建模。最终形成金融风险事件分类体系与标注规范、可追溯的动态金融事件知识图谱、证据增强的风险识别与解释方法，以及论文、原型系统和可复用研究资源。</w:t>
      </w:r>
    </w:p>
    <w:p>
      <w:pPr>
        <w:keepNext/>
        <w:keepLines/>
        <w:spacing w:after="80" w:before="120"/>
        <w:jc w:val="center"/>
      </w:pPr>
      <w:r>
        <w:rPr>
          <w:rFonts w:ascii="Times New Roman" w:cs="Times New Roman" w:eastAsia="宋体" w:hAnsi="Times New Roman"/>
          <w:b w:val="false"/>
          <w:bCs w:val="false"/>
          <w:color w:val="000000"/>
          <w:sz w:val="21"/>
          <w:szCs w:val="21"/>
        </w:rPr>
        <w:t xml:space="preserve">表2 研究问题、方法与可检查产出的对应关系</w:t>
      </w:r>
    </w:p>
    <w:tbl>
      <w:tblPr>
        <w:tblW w:type="dxa" w:w="8958"/>
        <w:tblBorders>
          <w:top w:val="single" w:color="auto" w:sz="4"/>
          <w:left w:val="single" w:color="auto" w:sz="4"/>
          <w:bottom w:val="single" w:color="auto" w:sz="4"/>
          <w:right w:val="single" w:color="auto" w:sz="4"/>
          <w:insideH w:val="single" w:color="auto" w:sz="4"/>
          <w:insideV w:val="single" w:color="auto" w:sz="4"/>
        </w:tblBorders>
      </w:tblPr>
      <w:tblGrid>
        <w:gridCol w:w="1650"/>
        <w:gridCol w:w="2450"/>
        <w:gridCol w:w="2400"/>
        <w:gridCol w:w="2458"/>
      </w:tblGrid>
      <w:tr>
        <w:trPr>
          <w:cantSplit/>
          <w:tblHeader/>
        </w:trPr>
        <w:tc>
          <w:tcPr>
            <w:tcW w:type="dxa" w:w="1650"/>
            <w:tcBorders>
              <w:top w:val="single" w:color="000000" w:sz="12"/>
              <w:left w:val="nil" w:color="FFFFFF" w:sz="0"/>
              <w:bottom w:val="single" w:color="000000" w:sz="6"/>
              <w:right w:val="nil" w:color="FFFFFF" w:sz="0"/>
            </w:tcBorders>
            <w:tcMar>
              <w:top w:type="dxa" w:w="80"/>
              <w:left w:type="dxa" w:w="90"/>
              <w:bottom w:type="dxa" w:w="80"/>
              <w:right w:type="dxa" w:w="90"/>
            </w:tcMar>
            <w:vAlign w:val="center"/>
          </w:tcPr>
          <w:p>
            <w:pPr>
              <w:keepLines/>
              <w:spacing w:after="0" w:line="300" w:lineRule="exact"/>
              <w:jc w:val="center"/>
            </w:pPr>
            <w:r>
              <w:rPr>
                <w:rFonts w:ascii="Times New Roman" w:cs="Times New Roman" w:eastAsia="黑体" w:hAnsi="Times New Roman"/>
                <w:b/>
                <w:bCs/>
                <w:color w:val="000000"/>
                <w:sz w:val="19"/>
                <w:szCs w:val="19"/>
              </w:rPr>
              <w:t xml:space="preserve">研究问题</w:t>
            </w:r>
          </w:p>
        </w:tc>
        <w:tc>
          <w:tcPr>
            <w:tcW w:type="dxa" w:w="2450"/>
            <w:tcBorders>
              <w:top w:val="single" w:color="000000" w:sz="12"/>
              <w:left w:val="nil" w:color="FFFFFF" w:sz="0"/>
              <w:bottom w:val="single" w:color="000000" w:sz="6"/>
              <w:right w:val="nil" w:color="FFFFFF" w:sz="0"/>
            </w:tcBorders>
            <w:tcMar>
              <w:top w:type="dxa" w:w="80"/>
              <w:left w:type="dxa" w:w="90"/>
              <w:bottom w:type="dxa" w:w="80"/>
              <w:right w:type="dxa" w:w="90"/>
            </w:tcMar>
            <w:vAlign w:val="center"/>
          </w:tcPr>
          <w:p>
            <w:pPr>
              <w:keepLines/>
              <w:spacing w:after="0" w:line="300" w:lineRule="exact"/>
              <w:jc w:val="center"/>
            </w:pPr>
            <w:r>
              <w:rPr>
                <w:rFonts w:ascii="Times New Roman" w:cs="Times New Roman" w:eastAsia="黑体" w:hAnsi="Times New Roman"/>
                <w:b/>
                <w:bCs/>
                <w:color w:val="000000"/>
                <w:sz w:val="19"/>
                <w:szCs w:val="19"/>
              </w:rPr>
              <w:t xml:space="preserve">主要方法</w:t>
            </w:r>
          </w:p>
        </w:tc>
        <w:tc>
          <w:tcPr>
            <w:tcW w:type="dxa" w:w="2400"/>
            <w:tcBorders>
              <w:top w:val="single" w:color="000000" w:sz="12"/>
              <w:left w:val="nil" w:color="FFFFFF" w:sz="0"/>
              <w:bottom w:val="single" w:color="000000" w:sz="6"/>
              <w:right w:val="nil" w:color="FFFFFF" w:sz="0"/>
            </w:tcBorders>
            <w:tcMar>
              <w:top w:type="dxa" w:w="80"/>
              <w:left w:type="dxa" w:w="90"/>
              <w:bottom w:type="dxa" w:w="80"/>
              <w:right w:type="dxa" w:w="90"/>
            </w:tcMar>
            <w:vAlign w:val="center"/>
          </w:tcPr>
          <w:p>
            <w:pPr>
              <w:keepLines/>
              <w:spacing w:after="0" w:line="300" w:lineRule="exact"/>
              <w:jc w:val="center"/>
            </w:pPr>
            <w:r>
              <w:rPr>
                <w:rFonts w:ascii="Times New Roman" w:cs="Times New Roman" w:eastAsia="黑体" w:hAnsi="Times New Roman"/>
                <w:b/>
                <w:bCs/>
                <w:color w:val="000000"/>
                <w:sz w:val="19"/>
                <w:szCs w:val="19"/>
              </w:rPr>
              <w:t xml:space="preserve">关键评价</w:t>
            </w:r>
          </w:p>
        </w:tc>
        <w:tc>
          <w:tcPr>
            <w:tcW w:type="dxa" w:w="2458"/>
            <w:tcBorders>
              <w:top w:val="single" w:color="000000" w:sz="12"/>
              <w:left w:val="nil" w:color="FFFFFF" w:sz="0"/>
              <w:bottom w:val="single" w:color="000000" w:sz="6"/>
              <w:right w:val="nil" w:color="FFFFFF" w:sz="0"/>
            </w:tcBorders>
            <w:tcMar>
              <w:top w:type="dxa" w:w="80"/>
              <w:left w:type="dxa" w:w="90"/>
              <w:bottom w:type="dxa" w:w="80"/>
              <w:right w:type="dxa" w:w="90"/>
            </w:tcMar>
            <w:vAlign w:val="center"/>
          </w:tcPr>
          <w:p>
            <w:pPr>
              <w:keepLines/>
              <w:spacing w:after="0" w:line="300" w:lineRule="exact"/>
              <w:jc w:val="center"/>
            </w:pPr>
            <w:r>
              <w:rPr>
                <w:rFonts w:ascii="Times New Roman" w:cs="Times New Roman" w:eastAsia="黑体" w:hAnsi="Times New Roman"/>
                <w:b/>
                <w:bCs/>
                <w:color w:val="000000"/>
                <w:sz w:val="19"/>
                <w:szCs w:val="19"/>
              </w:rPr>
              <w:t xml:space="preserve">可检查产出</w:t>
            </w:r>
          </w:p>
        </w:tc>
      </w:tr>
      <w:tr>
        <w:trPr>
          <w:cantSplit/>
          <w:tblHeader w:val="false"/>
        </w:trPr>
        <w:tc>
          <w:tcPr>
            <w:tcW w:type="dxa" w:w="1650"/>
            <w:tcBorders>
              <w:top w:val="nil" w:color="FFFFFF" w:sz="0"/>
              <w:left w:val="nil" w:color="FFFFFF" w:sz="0"/>
              <w:bottom w:val="nil" w:color="FFFFFF" w:sz="0"/>
              <w:right w:val="nil" w:color="FFFFFF" w:sz="0"/>
            </w:tcBorders>
            <w:tcMar>
              <w:top w:type="dxa" w:w="80"/>
              <w:left w:type="dxa" w:w="90"/>
              <w:bottom w:type="dxa" w:w="80"/>
              <w:right w:type="dxa" w:w="90"/>
            </w:tcMar>
            <w:vAlign w:val="center"/>
          </w:tcPr>
          <w:p>
            <w:pPr>
              <w:keepLines/>
              <w:spacing w:after="0" w:line="300" w:lineRule="exact"/>
              <w:jc w:val="center"/>
            </w:pPr>
            <w:r>
              <w:rPr>
                <w:rFonts w:ascii="Times New Roman" w:cs="Times New Roman" w:eastAsia="宋体" w:hAnsi="Times New Roman"/>
                <w:b w:val="false"/>
                <w:bCs w:val="false"/>
                <w:color w:val="000000"/>
                <w:sz w:val="19"/>
                <w:szCs w:val="19"/>
              </w:rPr>
              <w:t xml:space="preserve">长公告事件能否稳定抽取</w:t>
            </w:r>
          </w:p>
        </w:tc>
        <w:tc>
          <w:tcPr>
            <w:tcW w:type="dxa" w:w="2450"/>
            <w:tcBorders>
              <w:top w:val="nil" w:color="FFFFFF" w:sz="0"/>
              <w:left w:val="nil" w:color="FFFFFF" w:sz="0"/>
              <w:bottom w:val="nil" w:color="FFFFFF" w:sz="0"/>
              <w:right w:val="nil" w:color="FFFFFF" w:sz="0"/>
            </w:tcBorders>
            <w:tcMar>
              <w:top w:type="dxa" w:w="80"/>
              <w:left w:type="dxa" w:w="90"/>
              <w:bottom w:type="dxa" w:w="80"/>
              <w:right w:type="dxa" w:w="90"/>
            </w:tcMar>
            <w:vAlign w:val="center"/>
          </w:tcPr>
          <w:p>
            <w:pPr>
              <w:keepLines/>
              <w:spacing w:after="0" w:line="300" w:lineRule="exact"/>
              <w:jc w:val="both"/>
            </w:pPr>
            <w:r>
              <w:rPr>
                <w:rFonts w:ascii="Times New Roman" w:cs="Times New Roman" w:eastAsia="宋体" w:hAnsi="Times New Roman"/>
                <w:b w:val="false"/>
                <w:bCs w:val="false"/>
                <w:color w:val="000000"/>
                <w:sz w:val="19"/>
                <w:szCs w:val="19"/>
              </w:rPr>
              <w:t xml:space="preserve">序列标注、Doc2EDAG、schema-aware 生成</w:t>
            </w:r>
          </w:p>
        </w:tc>
        <w:tc>
          <w:tcPr>
            <w:tcW w:type="dxa" w:w="2400"/>
            <w:tcBorders>
              <w:top w:val="nil" w:color="FFFFFF" w:sz="0"/>
              <w:left w:val="nil" w:color="FFFFFF" w:sz="0"/>
              <w:bottom w:val="nil" w:color="FFFFFF" w:sz="0"/>
              <w:right w:val="nil" w:color="FFFFFF" w:sz="0"/>
            </w:tcBorders>
            <w:tcMar>
              <w:top w:type="dxa" w:w="80"/>
              <w:left w:type="dxa" w:w="90"/>
              <w:bottom w:type="dxa" w:w="80"/>
              <w:right w:type="dxa" w:w="90"/>
            </w:tcMar>
            <w:vAlign w:val="center"/>
          </w:tcPr>
          <w:p>
            <w:pPr>
              <w:keepLines/>
              <w:spacing w:after="0" w:line="300" w:lineRule="exact"/>
              <w:jc w:val="both"/>
            </w:pPr>
            <w:r>
              <w:rPr>
                <w:rFonts w:ascii="Times New Roman" w:cs="Times New Roman" w:eastAsia="宋体" w:hAnsi="Times New Roman"/>
                <w:b w:val="false"/>
                <w:bCs w:val="false"/>
                <w:color w:val="000000"/>
                <w:sz w:val="19"/>
                <w:szCs w:val="19"/>
              </w:rPr>
              <w:t xml:space="preserve">事件/论元 F1、完整率、无效结构率</w:t>
            </w:r>
          </w:p>
        </w:tc>
        <w:tc>
          <w:tcPr>
            <w:tcW w:type="dxa" w:w="2458"/>
            <w:tcBorders>
              <w:top w:val="nil" w:color="FFFFFF" w:sz="0"/>
              <w:left w:val="nil" w:color="FFFFFF" w:sz="0"/>
              <w:bottom w:val="nil" w:color="FFFFFF" w:sz="0"/>
              <w:right w:val="nil" w:color="FFFFFF" w:sz="0"/>
            </w:tcBorders>
            <w:tcMar>
              <w:top w:type="dxa" w:w="80"/>
              <w:left w:type="dxa" w:w="90"/>
              <w:bottom w:type="dxa" w:w="80"/>
              <w:right w:type="dxa" w:w="90"/>
            </w:tcMar>
            <w:vAlign w:val="center"/>
          </w:tcPr>
          <w:p>
            <w:pPr>
              <w:keepLines/>
              <w:spacing w:after="0" w:line="300" w:lineRule="exact"/>
              <w:jc w:val="both"/>
            </w:pPr>
            <w:r>
              <w:rPr>
                <w:rFonts w:ascii="Times New Roman" w:cs="Times New Roman" w:eastAsia="宋体" w:hAnsi="Times New Roman"/>
                <w:b w:val="false"/>
                <w:bCs w:val="false"/>
                <w:color w:val="000000"/>
                <w:sz w:val="19"/>
                <w:szCs w:val="19"/>
              </w:rPr>
              <w:t xml:space="preserve">数据字典、抽取基线、误差表</w:t>
            </w:r>
          </w:p>
        </w:tc>
      </w:tr>
      <w:tr>
        <w:trPr>
          <w:cantSplit/>
          <w:tblHeader w:val="false"/>
        </w:trPr>
        <w:tc>
          <w:tcPr>
            <w:tcW w:type="dxa" w:w="1650"/>
            <w:tcBorders>
              <w:top w:val="nil" w:color="FFFFFF" w:sz="0"/>
              <w:left w:val="nil" w:color="FFFFFF" w:sz="0"/>
              <w:bottom w:val="nil" w:color="FFFFFF" w:sz="0"/>
              <w:right w:val="nil" w:color="FFFFFF" w:sz="0"/>
            </w:tcBorders>
            <w:tcMar>
              <w:top w:type="dxa" w:w="80"/>
              <w:left w:type="dxa" w:w="90"/>
              <w:bottom w:type="dxa" w:w="80"/>
              <w:right w:type="dxa" w:w="90"/>
            </w:tcMar>
            <w:vAlign w:val="center"/>
          </w:tcPr>
          <w:p>
            <w:pPr>
              <w:keepLines/>
              <w:spacing w:after="0" w:line="300" w:lineRule="exact"/>
              <w:jc w:val="center"/>
            </w:pPr>
            <w:r>
              <w:rPr>
                <w:rFonts w:ascii="Times New Roman" w:cs="Times New Roman" w:eastAsia="宋体" w:hAnsi="Times New Roman"/>
                <w:b w:val="false"/>
                <w:bCs w:val="false"/>
                <w:color w:val="000000"/>
                <w:sz w:val="19"/>
                <w:szCs w:val="19"/>
              </w:rPr>
              <w:t xml:space="preserve">跨公告知识能否时间一致</w:t>
            </w:r>
          </w:p>
        </w:tc>
        <w:tc>
          <w:tcPr>
            <w:tcW w:type="dxa" w:w="2450"/>
            <w:tcBorders>
              <w:top w:val="nil" w:color="FFFFFF" w:sz="0"/>
              <w:left w:val="nil" w:color="FFFFFF" w:sz="0"/>
              <w:bottom w:val="nil" w:color="FFFFFF" w:sz="0"/>
              <w:right w:val="nil" w:color="FFFFFF" w:sz="0"/>
            </w:tcBorders>
            <w:tcMar>
              <w:top w:type="dxa" w:w="80"/>
              <w:left w:type="dxa" w:w="90"/>
              <w:bottom w:type="dxa" w:w="80"/>
              <w:right w:type="dxa" w:w="90"/>
            </w:tcMar>
            <w:vAlign w:val="center"/>
          </w:tcPr>
          <w:p>
            <w:pPr>
              <w:keepLines/>
              <w:spacing w:after="0" w:line="300" w:lineRule="exact"/>
              <w:jc w:val="both"/>
            </w:pPr>
            <w:r>
              <w:rPr>
                <w:rFonts w:ascii="Times New Roman" w:cs="Times New Roman" w:eastAsia="宋体" w:hAnsi="Times New Roman"/>
                <w:b w:val="false"/>
                <w:bCs w:val="false"/>
                <w:color w:val="000000"/>
                <w:sz w:val="19"/>
                <w:szCs w:val="19"/>
              </w:rPr>
              <w:t xml:space="preserve">实体对齐、事件去重、版本与来源管理</w:t>
            </w:r>
          </w:p>
        </w:tc>
        <w:tc>
          <w:tcPr>
            <w:tcW w:type="dxa" w:w="2400"/>
            <w:tcBorders>
              <w:top w:val="nil" w:color="FFFFFF" w:sz="0"/>
              <w:left w:val="nil" w:color="FFFFFF" w:sz="0"/>
              <w:bottom w:val="nil" w:color="FFFFFF" w:sz="0"/>
              <w:right w:val="nil" w:color="FFFFFF" w:sz="0"/>
            </w:tcBorders>
            <w:tcMar>
              <w:top w:type="dxa" w:w="80"/>
              <w:left w:type="dxa" w:w="90"/>
              <w:bottom w:type="dxa" w:w="80"/>
              <w:right w:type="dxa" w:w="90"/>
            </w:tcMar>
            <w:vAlign w:val="center"/>
          </w:tcPr>
          <w:p>
            <w:pPr>
              <w:keepLines/>
              <w:spacing w:after="0" w:line="300" w:lineRule="exact"/>
              <w:jc w:val="both"/>
            </w:pPr>
            <w:r>
              <w:rPr>
                <w:rFonts w:ascii="Times New Roman" w:cs="Times New Roman" w:eastAsia="宋体" w:hAnsi="Times New Roman"/>
                <w:b w:val="false"/>
                <w:bCs w:val="false"/>
                <w:color w:val="000000"/>
                <w:sz w:val="19"/>
                <w:szCs w:val="19"/>
              </w:rPr>
              <w:t xml:space="preserve">对齐准确率、时间冲突率、来源覆盖率</w:t>
            </w:r>
          </w:p>
        </w:tc>
        <w:tc>
          <w:tcPr>
            <w:tcW w:type="dxa" w:w="2458"/>
            <w:tcBorders>
              <w:top w:val="nil" w:color="FFFFFF" w:sz="0"/>
              <w:left w:val="nil" w:color="FFFFFF" w:sz="0"/>
              <w:bottom w:val="nil" w:color="FFFFFF" w:sz="0"/>
              <w:right w:val="nil" w:color="FFFFFF" w:sz="0"/>
            </w:tcBorders>
            <w:tcMar>
              <w:top w:type="dxa" w:w="80"/>
              <w:left w:type="dxa" w:w="90"/>
              <w:bottom w:type="dxa" w:w="80"/>
              <w:right w:type="dxa" w:w="90"/>
            </w:tcMar>
            <w:vAlign w:val="center"/>
          </w:tcPr>
          <w:p>
            <w:pPr>
              <w:keepLines/>
              <w:spacing w:after="0" w:line="300" w:lineRule="exact"/>
              <w:jc w:val="both"/>
            </w:pPr>
            <w:r>
              <w:rPr>
                <w:rFonts w:ascii="Times New Roman" w:cs="Times New Roman" w:eastAsia="宋体" w:hAnsi="Times New Roman"/>
                <w:b w:val="false"/>
                <w:bCs w:val="false"/>
                <w:color w:val="000000"/>
                <w:sz w:val="19"/>
                <w:szCs w:val="19"/>
              </w:rPr>
              <w:t xml:space="preserve">图谱 schema、样例子图、质量报告</w:t>
            </w:r>
          </w:p>
        </w:tc>
      </w:tr>
      <w:tr>
        <w:trPr>
          <w:cantSplit/>
          <w:tblHeader w:val="false"/>
        </w:trPr>
        <w:tc>
          <w:tcPr>
            <w:tcW w:type="dxa" w:w="1650"/>
            <w:tcBorders>
              <w:top w:val="nil" w:color="FFFFFF" w:sz="0"/>
              <w:left w:val="nil" w:color="FFFFFF" w:sz="0"/>
              <w:bottom w:val="single" w:color="000000" w:sz="12"/>
              <w:right w:val="nil" w:color="FFFFFF" w:sz="0"/>
            </w:tcBorders>
            <w:tcMar>
              <w:top w:type="dxa" w:w="80"/>
              <w:left w:type="dxa" w:w="90"/>
              <w:bottom w:type="dxa" w:w="80"/>
              <w:right w:type="dxa" w:w="90"/>
            </w:tcMar>
            <w:vAlign w:val="center"/>
          </w:tcPr>
          <w:p>
            <w:pPr>
              <w:keepLines/>
              <w:spacing w:after="0" w:line="300" w:lineRule="exact"/>
              <w:jc w:val="center"/>
            </w:pPr>
            <w:r>
              <w:rPr>
                <w:rFonts w:ascii="Times New Roman" w:cs="Times New Roman" w:eastAsia="宋体" w:hAnsi="Times New Roman"/>
                <w:b w:val="false"/>
                <w:bCs w:val="false"/>
                <w:color w:val="000000"/>
                <w:sz w:val="19"/>
                <w:szCs w:val="19"/>
              </w:rPr>
              <w:t xml:space="preserve">风险判断能否证据增强</w:t>
            </w:r>
          </w:p>
        </w:tc>
        <w:tc>
          <w:tcPr>
            <w:tcW w:type="dxa" w:w="2450"/>
            <w:tcBorders>
              <w:top w:val="nil" w:color="FFFFFF" w:sz="0"/>
              <w:left w:val="nil" w:color="FFFFFF" w:sz="0"/>
              <w:bottom w:val="single" w:color="000000" w:sz="12"/>
              <w:right w:val="nil" w:color="FFFFFF" w:sz="0"/>
            </w:tcBorders>
            <w:tcMar>
              <w:top w:type="dxa" w:w="80"/>
              <w:left w:type="dxa" w:w="90"/>
              <w:bottom w:type="dxa" w:w="80"/>
              <w:right w:type="dxa" w:w="90"/>
            </w:tcMar>
            <w:vAlign w:val="center"/>
          </w:tcPr>
          <w:p>
            <w:pPr>
              <w:keepLines/>
              <w:spacing w:after="0" w:line="300" w:lineRule="exact"/>
              <w:jc w:val="both"/>
            </w:pPr>
            <w:r>
              <w:rPr>
                <w:rFonts w:ascii="Times New Roman" w:cs="Times New Roman" w:eastAsia="宋体" w:hAnsi="Times New Roman"/>
                <w:b w:val="false"/>
                <w:bCs w:val="false"/>
                <w:color w:val="000000"/>
                <w:sz w:val="19"/>
                <w:szCs w:val="19"/>
              </w:rPr>
              <w:t xml:space="preserve">LR、LightGBM、图/时间表示、双索引检索</w:t>
            </w:r>
          </w:p>
        </w:tc>
        <w:tc>
          <w:tcPr>
            <w:tcW w:type="dxa" w:w="2400"/>
            <w:tcBorders>
              <w:top w:val="nil" w:color="FFFFFF" w:sz="0"/>
              <w:left w:val="nil" w:color="FFFFFF" w:sz="0"/>
              <w:bottom w:val="single" w:color="000000" w:sz="12"/>
              <w:right w:val="nil" w:color="FFFFFF" w:sz="0"/>
            </w:tcBorders>
            <w:tcMar>
              <w:top w:type="dxa" w:w="80"/>
              <w:left w:type="dxa" w:w="90"/>
              <w:bottom w:type="dxa" w:w="80"/>
              <w:right w:type="dxa" w:w="90"/>
            </w:tcMar>
            <w:vAlign w:val="center"/>
          </w:tcPr>
          <w:p>
            <w:pPr>
              <w:keepLines/>
              <w:spacing w:after="0" w:line="300" w:lineRule="exact"/>
              <w:jc w:val="both"/>
            </w:pPr>
            <w:r>
              <w:rPr>
                <w:rFonts w:ascii="Times New Roman" w:cs="Times New Roman" w:eastAsia="宋体" w:hAnsi="Times New Roman"/>
                <w:b w:val="false"/>
                <w:bCs w:val="false"/>
                <w:color w:val="000000"/>
                <w:sz w:val="19"/>
                <w:szCs w:val="19"/>
              </w:rPr>
              <w:t xml:space="preserve">校准、外推、证据覆盖、拒答风险</w:t>
            </w:r>
          </w:p>
        </w:tc>
        <w:tc>
          <w:tcPr>
            <w:tcW w:type="dxa" w:w="2458"/>
            <w:tcBorders>
              <w:top w:val="nil" w:color="FFFFFF" w:sz="0"/>
              <w:left w:val="nil" w:color="FFFFFF" w:sz="0"/>
              <w:bottom w:val="single" w:color="000000" w:sz="12"/>
              <w:right w:val="nil" w:color="FFFFFF" w:sz="0"/>
            </w:tcBorders>
            <w:tcMar>
              <w:top w:type="dxa" w:w="80"/>
              <w:left w:type="dxa" w:w="90"/>
              <w:bottom w:type="dxa" w:w="80"/>
              <w:right w:type="dxa" w:w="90"/>
            </w:tcMar>
            <w:vAlign w:val="center"/>
          </w:tcPr>
          <w:p>
            <w:pPr>
              <w:keepLines/>
              <w:spacing w:after="0" w:line="300" w:lineRule="exact"/>
              <w:jc w:val="both"/>
            </w:pPr>
            <w:r>
              <w:rPr>
                <w:rFonts w:ascii="Times New Roman" w:cs="Times New Roman" w:eastAsia="宋体" w:hAnsi="Times New Roman"/>
                <w:b w:val="false"/>
                <w:bCs w:val="false"/>
                <w:color w:val="000000"/>
                <w:sz w:val="19"/>
                <w:szCs w:val="19"/>
              </w:rPr>
              <w:t xml:space="preserve">风险基线、消融、证据链案例</w:t>
            </w:r>
          </w:p>
        </w:tc>
      </w:tr>
    </w:tbl>
    <w:p>
      <w:pPr>
        <w:spacing w:after="100"/>
      </w:pPr>
    </w:p>
    <w:p>
      <w:pPr>
        <w:keepNext/>
        <w:keepLines/>
        <w:widowControl/>
        <w:spacing w:after="140" w:before="240" w:line="360" w:lineRule="atLeast"/>
        <w:outlineLvl w:val="1"/>
      </w:pPr>
      <w:r>
        <w:rPr>
          <w:rFonts w:ascii="Times New Roman" w:cs="Times New Roman" w:eastAsia="黑体" w:hAnsi="Times New Roman"/>
          <w:b/>
          <w:bCs/>
          <w:color w:val="000000"/>
          <w:sz w:val="28"/>
          <w:szCs w:val="28"/>
        </w:rPr>
        <w:t xml:space="preserve">2.6 验证方案与稳健性评价</w:t>
      </w:r>
    </w:p>
    <w:p>
      <w:pPr>
        <w:widowControl/>
        <w:spacing w:after="80" w:line="440" w:lineRule="exact"/>
        <w:ind w:firstLine="480"/>
        <w:jc w:val="both"/>
      </w:pPr>
      <w:r>
        <w:rPr>
          <w:rFonts w:ascii="Times New Roman" w:cs="Times New Roman" w:eastAsia="宋体" w:hAnsi="Times New Roman"/>
          <w:b w:val="false"/>
          <w:bCs w:val="false"/>
          <w:color w:val="000000"/>
          <w:sz w:val="24"/>
          <w:szCs w:val="24"/>
        </w:rPr>
        <w:t xml:space="preserve">上游抽取采用官方训练/验证/测试划分，并增加按文档长度和事件数量分层的误差分析。图谱构建对实体对齐、事件合并和时间状态分别抽样复核，记录错误是否会传递到下游任务。风险识别采用时间外推为主、随机切分仅作对照；同一企业跨集合泄漏和未来公告泄漏均作为阻断性错误。</w:t>
      </w:r>
    </w:p>
    <w:p>
      <w:pPr>
        <w:widowControl/>
        <w:spacing w:after="80" w:line="440" w:lineRule="exact"/>
        <w:ind w:firstLine="480"/>
        <w:jc w:val="both"/>
      </w:pPr>
      <w:r>
        <w:rPr>
          <w:rFonts w:ascii="Times New Roman" w:cs="Times New Roman" w:eastAsia="宋体" w:hAnsi="Times New Roman"/>
          <w:b w:val="false"/>
          <w:bCs w:val="false"/>
          <w:color w:val="000000"/>
          <w:sz w:val="24"/>
          <w:szCs w:val="24"/>
        </w:rPr>
        <w:t xml:space="preserve">稳健性评价覆盖数据、schema、模型和时间四个维度。数据维度改变标注置信阈值和样本纳入规则；schema 维度比较核心类型与扩展类型；模型维度比较透明基线、树模型与图表示；时间维度比较不同训练窗口和测试区间。对于风险输出，报告覆盖率—风险曲线：随着拒答比例提高，保留预测的错误率是否下降。若模型无法识别自己的不确定性，则不把其标记为“可用于风险提示”。</w:t>
      </w:r>
    </w:p>
    <w:p>
      <w:pPr>
        <w:keepNext/>
        <w:keepLines/>
        <w:spacing w:after="80" w:before="120"/>
        <w:jc w:val="center"/>
      </w:pPr>
      <w:r>
        <w:rPr>
          <w:rFonts w:ascii="Times New Roman" w:cs="Times New Roman" w:eastAsia="宋体" w:hAnsi="Times New Roman"/>
          <w:b w:val="false"/>
          <w:bCs w:val="false"/>
          <w:color w:val="000000"/>
          <w:sz w:val="21"/>
          <w:szCs w:val="21"/>
        </w:rPr>
        <w:t xml:space="preserve">表3 主要失败情形与替代路径</w:t>
      </w:r>
    </w:p>
    <w:tbl>
      <w:tblPr>
        <w:tblW w:type="dxa" w:w="8958"/>
        <w:tblBorders>
          <w:top w:val="single" w:color="auto" w:sz="4"/>
          <w:left w:val="single" w:color="auto" w:sz="4"/>
          <w:bottom w:val="single" w:color="auto" w:sz="4"/>
          <w:right w:val="single" w:color="auto" w:sz="4"/>
          <w:insideH w:val="single" w:color="auto" w:sz="4"/>
          <w:insideV w:val="single" w:color="auto" w:sz="4"/>
        </w:tblBorders>
      </w:tblPr>
      <w:tblGrid>
        <w:gridCol w:w="1650"/>
        <w:gridCol w:w="2450"/>
        <w:gridCol w:w="2400"/>
        <w:gridCol w:w="2458"/>
      </w:tblGrid>
      <w:tr>
        <w:trPr>
          <w:cantSplit/>
          <w:tblHeader/>
        </w:trPr>
        <w:tc>
          <w:tcPr>
            <w:tcW w:type="dxa" w:w="1650"/>
            <w:tcBorders>
              <w:top w:val="single" w:color="000000" w:sz="12"/>
              <w:left w:val="nil" w:color="FFFFFF" w:sz="0"/>
              <w:bottom w:val="single" w:color="000000" w:sz="6"/>
              <w:right w:val="nil" w:color="FFFFFF" w:sz="0"/>
            </w:tcBorders>
            <w:tcMar>
              <w:top w:type="dxa" w:w="80"/>
              <w:left w:type="dxa" w:w="90"/>
              <w:bottom w:type="dxa" w:w="80"/>
              <w:right w:type="dxa" w:w="90"/>
            </w:tcMar>
            <w:vAlign w:val="center"/>
          </w:tcPr>
          <w:p>
            <w:pPr>
              <w:keepLines/>
              <w:spacing w:after="0" w:line="300" w:lineRule="exact"/>
              <w:jc w:val="center"/>
            </w:pPr>
            <w:r>
              <w:rPr>
                <w:rFonts w:ascii="Times New Roman" w:cs="Times New Roman" w:eastAsia="黑体" w:hAnsi="Times New Roman"/>
                <w:b/>
                <w:bCs/>
                <w:color w:val="000000"/>
                <w:sz w:val="19"/>
                <w:szCs w:val="19"/>
              </w:rPr>
              <w:t xml:space="preserve">失败情形</w:t>
            </w:r>
          </w:p>
        </w:tc>
        <w:tc>
          <w:tcPr>
            <w:tcW w:type="dxa" w:w="2450"/>
            <w:tcBorders>
              <w:top w:val="single" w:color="000000" w:sz="12"/>
              <w:left w:val="nil" w:color="FFFFFF" w:sz="0"/>
              <w:bottom w:val="single" w:color="000000" w:sz="6"/>
              <w:right w:val="nil" w:color="FFFFFF" w:sz="0"/>
            </w:tcBorders>
            <w:tcMar>
              <w:top w:type="dxa" w:w="80"/>
              <w:left w:type="dxa" w:w="90"/>
              <w:bottom w:type="dxa" w:w="80"/>
              <w:right w:type="dxa" w:w="90"/>
            </w:tcMar>
            <w:vAlign w:val="center"/>
          </w:tcPr>
          <w:p>
            <w:pPr>
              <w:keepLines/>
              <w:spacing w:after="0" w:line="300" w:lineRule="exact"/>
              <w:jc w:val="center"/>
            </w:pPr>
            <w:r>
              <w:rPr>
                <w:rFonts w:ascii="Times New Roman" w:cs="Times New Roman" w:eastAsia="黑体" w:hAnsi="Times New Roman"/>
                <w:b/>
                <w:bCs/>
                <w:color w:val="000000"/>
                <w:sz w:val="19"/>
                <w:szCs w:val="19"/>
              </w:rPr>
              <w:t xml:space="preserve">触发条件</w:t>
            </w:r>
          </w:p>
        </w:tc>
        <w:tc>
          <w:tcPr>
            <w:tcW w:type="dxa" w:w="2400"/>
            <w:tcBorders>
              <w:top w:val="single" w:color="000000" w:sz="12"/>
              <w:left w:val="nil" w:color="FFFFFF" w:sz="0"/>
              <w:bottom w:val="single" w:color="000000" w:sz="6"/>
              <w:right w:val="nil" w:color="FFFFFF" w:sz="0"/>
            </w:tcBorders>
            <w:tcMar>
              <w:top w:type="dxa" w:w="80"/>
              <w:left w:type="dxa" w:w="90"/>
              <w:bottom w:type="dxa" w:w="80"/>
              <w:right w:type="dxa" w:w="90"/>
            </w:tcMar>
            <w:vAlign w:val="center"/>
          </w:tcPr>
          <w:p>
            <w:pPr>
              <w:keepLines/>
              <w:spacing w:after="0" w:line="300" w:lineRule="exact"/>
              <w:jc w:val="center"/>
            </w:pPr>
            <w:r>
              <w:rPr>
                <w:rFonts w:ascii="Times New Roman" w:cs="Times New Roman" w:eastAsia="黑体" w:hAnsi="Times New Roman"/>
                <w:b/>
                <w:bCs/>
                <w:color w:val="000000"/>
                <w:sz w:val="19"/>
                <w:szCs w:val="19"/>
              </w:rPr>
              <w:t xml:space="preserve">替代路径</w:t>
            </w:r>
          </w:p>
        </w:tc>
        <w:tc>
          <w:tcPr>
            <w:tcW w:type="dxa" w:w="2458"/>
            <w:tcBorders>
              <w:top w:val="single" w:color="000000" w:sz="12"/>
              <w:left w:val="nil" w:color="FFFFFF" w:sz="0"/>
              <w:bottom w:val="single" w:color="000000" w:sz="6"/>
              <w:right w:val="nil" w:color="FFFFFF" w:sz="0"/>
            </w:tcBorders>
            <w:tcMar>
              <w:top w:type="dxa" w:w="80"/>
              <w:left w:type="dxa" w:w="90"/>
              <w:bottom w:type="dxa" w:w="80"/>
              <w:right w:type="dxa" w:w="90"/>
            </w:tcMar>
            <w:vAlign w:val="center"/>
          </w:tcPr>
          <w:p>
            <w:pPr>
              <w:keepLines/>
              <w:spacing w:after="0" w:line="300" w:lineRule="exact"/>
              <w:jc w:val="center"/>
            </w:pPr>
            <w:r>
              <w:rPr>
                <w:rFonts w:ascii="Times New Roman" w:cs="Times New Roman" w:eastAsia="黑体" w:hAnsi="Times New Roman"/>
                <w:b/>
                <w:bCs/>
                <w:color w:val="000000"/>
                <w:sz w:val="19"/>
                <w:szCs w:val="19"/>
              </w:rPr>
              <w:t xml:space="preserve">结论边界</w:t>
            </w:r>
          </w:p>
        </w:tc>
      </w:tr>
      <w:tr>
        <w:trPr>
          <w:cantSplit/>
          <w:tblHeader w:val="false"/>
        </w:trPr>
        <w:tc>
          <w:tcPr>
            <w:tcW w:type="dxa" w:w="1650"/>
            <w:tcBorders>
              <w:top w:val="nil" w:color="FFFFFF" w:sz="0"/>
              <w:left w:val="nil" w:color="FFFFFF" w:sz="0"/>
              <w:bottom w:val="nil" w:color="FFFFFF" w:sz="0"/>
              <w:right w:val="nil" w:color="FFFFFF" w:sz="0"/>
            </w:tcBorders>
            <w:tcMar>
              <w:top w:type="dxa" w:w="80"/>
              <w:left w:type="dxa" w:w="90"/>
              <w:bottom w:type="dxa" w:w="80"/>
              <w:right w:type="dxa" w:w="90"/>
            </w:tcMar>
            <w:vAlign w:val="center"/>
          </w:tcPr>
          <w:p>
            <w:pPr>
              <w:keepLines/>
              <w:spacing w:after="0" w:line="300" w:lineRule="exact"/>
              <w:jc w:val="center"/>
            </w:pPr>
            <w:r>
              <w:rPr>
                <w:rFonts w:ascii="Times New Roman" w:cs="Times New Roman" w:eastAsia="宋体" w:hAnsi="Times New Roman"/>
                <w:b w:val="false"/>
                <w:bCs w:val="false"/>
                <w:color w:val="000000"/>
                <w:sz w:val="19"/>
                <w:szCs w:val="19"/>
              </w:rPr>
              <w:t xml:space="preserve">生成式抽取结构不稳定</w:t>
            </w:r>
          </w:p>
        </w:tc>
        <w:tc>
          <w:tcPr>
            <w:tcW w:type="dxa" w:w="2450"/>
            <w:tcBorders>
              <w:top w:val="nil" w:color="FFFFFF" w:sz="0"/>
              <w:left w:val="nil" w:color="FFFFFF" w:sz="0"/>
              <w:bottom w:val="nil" w:color="FFFFFF" w:sz="0"/>
              <w:right w:val="nil" w:color="FFFFFF" w:sz="0"/>
            </w:tcBorders>
            <w:tcMar>
              <w:top w:type="dxa" w:w="80"/>
              <w:left w:type="dxa" w:w="90"/>
              <w:bottom w:type="dxa" w:w="80"/>
              <w:right w:type="dxa" w:w="90"/>
            </w:tcMar>
            <w:vAlign w:val="center"/>
          </w:tcPr>
          <w:p>
            <w:pPr>
              <w:keepLines/>
              <w:spacing w:after="0" w:line="300" w:lineRule="exact"/>
              <w:jc w:val="both"/>
            </w:pPr>
            <w:r>
              <w:rPr>
                <w:rFonts w:ascii="Times New Roman" w:cs="Times New Roman" w:eastAsia="宋体" w:hAnsi="Times New Roman"/>
                <w:b w:val="false"/>
                <w:bCs w:val="false"/>
                <w:color w:val="000000"/>
                <w:sz w:val="19"/>
                <w:szCs w:val="19"/>
              </w:rPr>
              <w:t xml:space="preserve">无效结构率或漏论元显著高于基线</w:t>
            </w:r>
          </w:p>
        </w:tc>
        <w:tc>
          <w:tcPr>
            <w:tcW w:type="dxa" w:w="2400"/>
            <w:tcBorders>
              <w:top w:val="nil" w:color="FFFFFF" w:sz="0"/>
              <w:left w:val="nil" w:color="FFFFFF" w:sz="0"/>
              <w:bottom w:val="nil" w:color="FFFFFF" w:sz="0"/>
              <w:right w:val="nil" w:color="FFFFFF" w:sz="0"/>
            </w:tcBorders>
            <w:tcMar>
              <w:top w:type="dxa" w:w="80"/>
              <w:left w:type="dxa" w:w="90"/>
              <w:bottom w:type="dxa" w:w="80"/>
              <w:right w:type="dxa" w:w="90"/>
            </w:tcMar>
            <w:vAlign w:val="center"/>
          </w:tcPr>
          <w:p>
            <w:pPr>
              <w:keepLines/>
              <w:spacing w:after="0" w:line="300" w:lineRule="exact"/>
              <w:jc w:val="both"/>
            </w:pPr>
            <w:r>
              <w:rPr>
                <w:rFonts w:ascii="Times New Roman" w:cs="Times New Roman" w:eastAsia="宋体" w:hAnsi="Times New Roman"/>
                <w:b w:val="false"/>
                <w:bCs w:val="false"/>
                <w:color w:val="000000"/>
                <w:sz w:val="19"/>
                <w:szCs w:val="19"/>
              </w:rPr>
              <w:t xml:space="preserve">回退受约束解码或 Doc2EDAG 基线</w:t>
            </w:r>
          </w:p>
        </w:tc>
        <w:tc>
          <w:tcPr>
            <w:tcW w:type="dxa" w:w="2458"/>
            <w:tcBorders>
              <w:top w:val="nil" w:color="FFFFFF" w:sz="0"/>
              <w:left w:val="nil" w:color="FFFFFF" w:sz="0"/>
              <w:bottom w:val="nil" w:color="FFFFFF" w:sz="0"/>
              <w:right w:val="nil" w:color="FFFFFF" w:sz="0"/>
            </w:tcBorders>
            <w:tcMar>
              <w:top w:type="dxa" w:w="80"/>
              <w:left w:type="dxa" w:w="90"/>
              <w:bottom w:type="dxa" w:w="80"/>
              <w:right w:type="dxa" w:w="90"/>
            </w:tcMar>
            <w:vAlign w:val="center"/>
          </w:tcPr>
          <w:p>
            <w:pPr>
              <w:keepLines/>
              <w:spacing w:after="0" w:line="300" w:lineRule="exact"/>
              <w:jc w:val="both"/>
            </w:pPr>
            <w:r>
              <w:rPr>
                <w:rFonts w:ascii="Times New Roman" w:cs="Times New Roman" w:eastAsia="宋体" w:hAnsi="Times New Roman"/>
                <w:b w:val="false"/>
                <w:bCs w:val="false"/>
                <w:color w:val="000000"/>
                <w:sz w:val="19"/>
                <w:szCs w:val="19"/>
              </w:rPr>
              <w:t xml:space="preserve">不以模型规模替代抽取质量</w:t>
            </w:r>
          </w:p>
        </w:tc>
      </w:tr>
      <w:tr>
        <w:trPr>
          <w:cantSplit/>
          <w:tblHeader w:val="false"/>
        </w:trPr>
        <w:tc>
          <w:tcPr>
            <w:tcW w:type="dxa" w:w="1650"/>
            <w:tcBorders>
              <w:top w:val="nil" w:color="FFFFFF" w:sz="0"/>
              <w:left w:val="nil" w:color="FFFFFF" w:sz="0"/>
              <w:bottom w:val="nil" w:color="FFFFFF" w:sz="0"/>
              <w:right w:val="nil" w:color="FFFFFF" w:sz="0"/>
            </w:tcBorders>
            <w:tcMar>
              <w:top w:type="dxa" w:w="80"/>
              <w:left w:type="dxa" w:w="90"/>
              <w:bottom w:type="dxa" w:w="80"/>
              <w:right w:type="dxa" w:w="90"/>
            </w:tcMar>
            <w:vAlign w:val="center"/>
          </w:tcPr>
          <w:p>
            <w:pPr>
              <w:keepLines/>
              <w:spacing w:after="0" w:line="300" w:lineRule="exact"/>
              <w:jc w:val="center"/>
            </w:pPr>
            <w:r>
              <w:rPr>
                <w:rFonts w:ascii="Times New Roman" w:cs="Times New Roman" w:eastAsia="宋体" w:hAnsi="Times New Roman"/>
                <w:b w:val="false"/>
                <w:bCs w:val="false"/>
                <w:color w:val="000000"/>
                <w:sz w:val="19"/>
                <w:szCs w:val="19"/>
              </w:rPr>
              <w:t xml:space="preserve">实体对齐错误扩散</w:t>
            </w:r>
          </w:p>
        </w:tc>
        <w:tc>
          <w:tcPr>
            <w:tcW w:type="dxa" w:w="2450"/>
            <w:tcBorders>
              <w:top w:val="nil" w:color="FFFFFF" w:sz="0"/>
              <w:left w:val="nil" w:color="FFFFFF" w:sz="0"/>
              <w:bottom w:val="nil" w:color="FFFFFF" w:sz="0"/>
              <w:right w:val="nil" w:color="FFFFFF" w:sz="0"/>
            </w:tcBorders>
            <w:tcMar>
              <w:top w:type="dxa" w:w="80"/>
              <w:left w:type="dxa" w:w="90"/>
              <w:bottom w:type="dxa" w:w="80"/>
              <w:right w:type="dxa" w:w="90"/>
            </w:tcMar>
            <w:vAlign w:val="center"/>
          </w:tcPr>
          <w:p>
            <w:pPr>
              <w:keepLines/>
              <w:spacing w:after="0" w:line="300" w:lineRule="exact"/>
              <w:jc w:val="both"/>
            </w:pPr>
            <w:r>
              <w:rPr>
                <w:rFonts w:ascii="Times New Roman" w:cs="Times New Roman" w:eastAsia="宋体" w:hAnsi="Times New Roman"/>
                <w:b w:val="false"/>
                <w:bCs w:val="false"/>
                <w:color w:val="000000"/>
                <w:sz w:val="19"/>
                <w:szCs w:val="19"/>
              </w:rPr>
              <w:t xml:space="preserve">抽样复核发现高频错误合并</w:t>
            </w:r>
          </w:p>
        </w:tc>
        <w:tc>
          <w:tcPr>
            <w:tcW w:type="dxa" w:w="2400"/>
            <w:tcBorders>
              <w:top w:val="nil" w:color="FFFFFF" w:sz="0"/>
              <w:left w:val="nil" w:color="FFFFFF" w:sz="0"/>
              <w:bottom w:val="nil" w:color="FFFFFF" w:sz="0"/>
              <w:right w:val="nil" w:color="FFFFFF" w:sz="0"/>
            </w:tcBorders>
            <w:tcMar>
              <w:top w:type="dxa" w:w="80"/>
              <w:left w:type="dxa" w:w="90"/>
              <w:bottom w:type="dxa" w:w="80"/>
              <w:right w:type="dxa" w:w="90"/>
            </w:tcMar>
            <w:vAlign w:val="center"/>
          </w:tcPr>
          <w:p>
            <w:pPr>
              <w:keepLines/>
              <w:spacing w:after="0" w:line="300" w:lineRule="exact"/>
              <w:jc w:val="both"/>
            </w:pPr>
            <w:r>
              <w:rPr>
                <w:rFonts w:ascii="Times New Roman" w:cs="Times New Roman" w:eastAsia="宋体" w:hAnsi="Times New Roman"/>
                <w:b w:val="false"/>
                <w:bCs w:val="false"/>
                <w:color w:val="000000"/>
                <w:sz w:val="19"/>
                <w:szCs w:val="19"/>
              </w:rPr>
              <w:t xml:space="preserve">提高阈值，保留候选链接与人工复核队列</w:t>
            </w:r>
          </w:p>
        </w:tc>
        <w:tc>
          <w:tcPr>
            <w:tcW w:type="dxa" w:w="2458"/>
            <w:tcBorders>
              <w:top w:val="nil" w:color="FFFFFF" w:sz="0"/>
              <w:left w:val="nil" w:color="FFFFFF" w:sz="0"/>
              <w:bottom w:val="nil" w:color="FFFFFF" w:sz="0"/>
              <w:right w:val="nil" w:color="FFFFFF" w:sz="0"/>
            </w:tcBorders>
            <w:tcMar>
              <w:top w:type="dxa" w:w="80"/>
              <w:left w:type="dxa" w:w="90"/>
              <w:bottom w:type="dxa" w:w="80"/>
              <w:right w:type="dxa" w:w="90"/>
            </w:tcMar>
            <w:vAlign w:val="center"/>
          </w:tcPr>
          <w:p>
            <w:pPr>
              <w:keepLines/>
              <w:spacing w:after="0" w:line="300" w:lineRule="exact"/>
              <w:jc w:val="both"/>
            </w:pPr>
            <w:r>
              <w:rPr>
                <w:rFonts w:ascii="Times New Roman" w:cs="Times New Roman" w:eastAsia="宋体" w:hAnsi="Times New Roman"/>
                <w:b w:val="false"/>
                <w:bCs w:val="false"/>
                <w:color w:val="000000"/>
                <w:sz w:val="19"/>
                <w:szCs w:val="19"/>
              </w:rPr>
              <w:t xml:space="preserve">图统计只基于高置信子图</w:t>
            </w:r>
          </w:p>
        </w:tc>
      </w:tr>
      <w:tr>
        <w:trPr>
          <w:cantSplit/>
          <w:tblHeader w:val="false"/>
        </w:trPr>
        <w:tc>
          <w:tcPr>
            <w:tcW w:type="dxa" w:w="1650"/>
            <w:tcBorders>
              <w:top w:val="nil" w:color="FFFFFF" w:sz="0"/>
              <w:left w:val="nil" w:color="FFFFFF" w:sz="0"/>
              <w:bottom w:val="nil" w:color="FFFFFF" w:sz="0"/>
              <w:right w:val="nil" w:color="FFFFFF" w:sz="0"/>
            </w:tcBorders>
            <w:tcMar>
              <w:top w:type="dxa" w:w="80"/>
              <w:left w:type="dxa" w:w="90"/>
              <w:bottom w:type="dxa" w:w="80"/>
              <w:right w:type="dxa" w:w="90"/>
            </w:tcMar>
            <w:vAlign w:val="center"/>
          </w:tcPr>
          <w:p>
            <w:pPr>
              <w:keepLines/>
              <w:spacing w:after="0" w:line="300" w:lineRule="exact"/>
              <w:jc w:val="center"/>
            </w:pPr>
            <w:r>
              <w:rPr>
                <w:rFonts w:ascii="Times New Roman" w:cs="Times New Roman" w:eastAsia="宋体" w:hAnsi="Times New Roman"/>
                <w:b w:val="false"/>
                <w:bCs w:val="false"/>
                <w:color w:val="000000"/>
                <w:sz w:val="19"/>
                <w:szCs w:val="19"/>
              </w:rPr>
              <w:t xml:space="preserve">风险标签噪声过大</w:t>
            </w:r>
          </w:p>
        </w:tc>
        <w:tc>
          <w:tcPr>
            <w:tcW w:type="dxa" w:w="2450"/>
            <w:tcBorders>
              <w:top w:val="nil" w:color="FFFFFF" w:sz="0"/>
              <w:left w:val="nil" w:color="FFFFFF" w:sz="0"/>
              <w:bottom w:val="nil" w:color="FFFFFF" w:sz="0"/>
              <w:right w:val="nil" w:color="FFFFFF" w:sz="0"/>
            </w:tcBorders>
            <w:tcMar>
              <w:top w:type="dxa" w:w="80"/>
              <w:left w:type="dxa" w:w="90"/>
              <w:bottom w:type="dxa" w:w="80"/>
              <w:right w:type="dxa" w:w="90"/>
            </w:tcMar>
            <w:vAlign w:val="center"/>
          </w:tcPr>
          <w:p>
            <w:pPr>
              <w:keepLines/>
              <w:spacing w:after="0" w:line="300" w:lineRule="exact"/>
              <w:jc w:val="both"/>
            </w:pPr>
            <w:r>
              <w:rPr>
                <w:rFonts w:ascii="Times New Roman" w:cs="Times New Roman" w:eastAsia="宋体" w:hAnsi="Times New Roman"/>
                <w:b w:val="false"/>
                <w:bCs w:val="false"/>
                <w:color w:val="000000"/>
                <w:sz w:val="19"/>
                <w:szCs w:val="19"/>
              </w:rPr>
              <w:t xml:space="preserve">标签与公告事件定义不一致</w:t>
            </w:r>
          </w:p>
        </w:tc>
        <w:tc>
          <w:tcPr>
            <w:tcW w:type="dxa" w:w="2400"/>
            <w:tcBorders>
              <w:top w:val="nil" w:color="FFFFFF" w:sz="0"/>
              <w:left w:val="nil" w:color="FFFFFF" w:sz="0"/>
              <w:bottom w:val="nil" w:color="FFFFFF" w:sz="0"/>
              <w:right w:val="nil" w:color="FFFFFF" w:sz="0"/>
            </w:tcBorders>
            <w:tcMar>
              <w:top w:type="dxa" w:w="80"/>
              <w:left w:type="dxa" w:w="90"/>
              <w:bottom w:type="dxa" w:w="80"/>
              <w:right w:type="dxa" w:w="90"/>
            </w:tcMar>
            <w:vAlign w:val="center"/>
          </w:tcPr>
          <w:p>
            <w:pPr>
              <w:keepLines/>
              <w:spacing w:after="0" w:line="300" w:lineRule="exact"/>
              <w:jc w:val="both"/>
            </w:pPr>
            <w:r>
              <w:rPr>
                <w:rFonts w:ascii="Times New Roman" w:cs="Times New Roman" w:eastAsia="宋体" w:hAnsi="Times New Roman"/>
                <w:b w:val="false"/>
                <w:bCs w:val="false"/>
                <w:color w:val="000000"/>
                <w:sz w:val="19"/>
                <w:szCs w:val="19"/>
              </w:rPr>
              <w:t xml:space="preserve">改为同类事件复现或排序演示任务</w:t>
            </w:r>
          </w:p>
        </w:tc>
        <w:tc>
          <w:tcPr>
            <w:tcW w:type="dxa" w:w="2458"/>
            <w:tcBorders>
              <w:top w:val="nil" w:color="FFFFFF" w:sz="0"/>
              <w:left w:val="nil" w:color="FFFFFF" w:sz="0"/>
              <w:bottom w:val="nil" w:color="FFFFFF" w:sz="0"/>
              <w:right w:val="nil" w:color="FFFFFF" w:sz="0"/>
            </w:tcBorders>
            <w:tcMar>
              <w:top w:type="dxa" w:w="80"/>
              <w:left w:type="dxa" w:w="90"/>
              <w:bottom w:type="dxa" w:w="80"/>
              <w:right w:type="dxa" w:w="90"/>
            </w:tcMar>
            <w:vAlign w:val="center"/>
          </w:tcPr>
          <w:p>
            <w:pPr>
              <w:keepLines/>
              <w:spacing w:after="0" w:line="300" w:lineRule="exact"/>
              <w:jc w:val="both"/>
            </w:pPr>
            <w:r>
              <w:rPr>
                <w:rFonts w:ascii="Times New Roman" w:cs="Times New Roman" w:eastAsia="宋体" w:hAnsi="Times New Roman"/>
                <w:b w:val="false"/>
                <w:bCs w:val="false"/>
                <w:color w:val="000000"/>
                <w:sz w:val="19"/>
                <w:szCs w:val="19"/>
              </w:rPr>
              <w:t xml:space="preserve">不输出企业风险概率</w:t>
            </w:r>
          </w:p>
        </w:tc>
      </w:tr>
      <w:tr>
        <w:trPr>
          <w:cantSplit/>
          <w:tblHeader w:val="false"/>
        </w:trPr>
        <w:tc>
          <w:tcPr>
            <w:tcW w:type="dxa" w:w="1650"/>
            <w:tcBorders>
              <w:top w:val="nil" w:color="FFFFFF" w:sz="0"/>
              <w:left w:val="nil" w:color="FFFFFF" w:sz="0"/>
              <w:bottom w:val="nil" w:color="FFFFFF" w:sz="0"/>
              <w:right w:val="nil" w:color="FFFFFF" w:sz="0"/>
            </w:tcBorders>
            <w:tcMar>
              <w:top w:type="dxa" w:w="80"/>
              <w:left w:type="dxa" w:w="90"/>
              <w:bottom w:type="dxa" w:w="80"/>
              <w:right w:type="dxa" w:w="90"/>
            </w:tcMar>
            <w:vAlign w:val="center"/>
          </w:tcPr>
          <w:p>
            <w:pPr>
              <w:keepLines/>
              <w:spacing w:after="0" w:line="300" w:lineRule="exact"/>
              <w:jc w:val="center"/>
            </w:pPr>
            <w:r>
              <w:rPr>
                <w:rFonts w:ascii="Times New Roman" w:cs="Times New Roman" w:eastAsia="宋体" w:hAnsi="Times New Roman"/>
                <w:b w:val="false"/>
                <w:bCs w:val="false"/>
                <w:color w:val="000000"/>
                <w:sz w:val="19"/>
                <w:szCs w:val="19"/>
              </w:rPr>
              <w:t xml:space="preserve">图特征无稳定增益</w:t>
            </w:r>
          </w:p>
        </w:tc>
        <w:tc>
          <w:tcPr>
            <w:tcW w:type="dxa" w:w="2450"/>
            <w:tcBorders>
              <w:top w:val="nil" w:color="FFFFFF" w:sz="0"/>
              <w:left w:val="nil" w:color="FFFFFF" w:sz="0"/>
              <w:bottom w:val="nil" w:color="FFFFFF" w:sz="0"/>
              <w:right w:val="nil" w:color="FFFFFF" w:sz="0"/>
            </w:tcBorders>
            <w:tcMar>
              <w:top w:type="dxa" w:w="80"/>
              <w:left w:type="dxa" w:w="90"/>
              <w:bottom w:type="dxa" w:w="80"/>
              <w:right w:type="dxa" w:w="90"/>
            </w:tcMar>
            <w:vAlign w:val="center"/>
          </w:tcPr>
          <w:p>
            <w:pPr>
              <w:keepLines/>
              <w:spacing w:after="0" w:line="300" w:lineRule="exact"/>
              <w:jc w:val="both"/>
            </w:pPr>
            <w:r>
              <w:rPr>
                <w:rFonts w:ascii="Times New Roman" w:cs="Times New Roman" w:eastAsia="宋体" w:hAnsi="Times New Roman"/>
                <w:b w:val="false"/>
                <w:bCs w:val="false"/>
                <w:color w:val="000000"/>
                <w:sz w:val="19"/>
                <w:szCs w:val="19"/>
              </w:rPr>
              <w:t xml:space="preserve">时间切分或企业留出中增益消失</w:t>
            </w:r>
          </w:p>
        </w:tc>
        <w:tc>
          <w:tcPr>
            <w:tcW w:type="dxa" w:w="2400"/>
            <w:tcBorders>
              <w:top w:val="nil" w:color="FFFFFF" w:sz="0"/>
              <w:left w:val="nil" w:color="FFFFFF" w:sz="0"/>
              <w:bottom w:val="nil" w:color="FFFFFF" w:sz="0"/>
              <w:right w:val="nil" w:color="FFFFFF" w:sz="0"/>
            </w:tcBorders>
            <w:tcMar>
              <w:top w:type="dxa" w:w="80"/>
              <w:left w:type="dxa" w:w="90"/>
              <w:bottom w:type="dxa" w:w="80"/>
              <w:right w:type="dxa" w:w="90"/>
            </w:tcMar>
            <w:vAlign w:val="center"/>
          </w:tcPr>
          <w:p>
            <w:pPr>
              <w:keepLines/>
              <w:spacing w:after="0" w:line="300" w:lineRule="exact"/>
              <w:jc w:val="both"/>
            </w:pPr>
            <w:r>
              <w:rPr>
                <w:rFonts w:ascii="Times New Roman" w:cs="Times New Roman" w:eastAsia="宋体" w:hAnsi="Times New Roman"/>
                <w:b w:val="false"/>
                <w:bCs w:val="false"/>
                <w:color w:val="000000"/>
                <w:sz w:val="19"/>
                <w:szCs w:val="19"/>
              </w:rPr>
              <w:t xml:space="preserve">保留透明特征基线并分析失败</w:t>
            </w:r>
          </w:p>
        </w:tc>
        <w:tc>
          <w:tcPr>
            <w:tcW w:type="dxa" w:w="2458"/>
            <w:tcBorders>
              <w:top w:val="nil" w:color="FFFFFF" w:sz="0"/>
              <w:left w:val="nil" w:color="FFFFFF" w:sz="0"/>
              <w:bottom w:val="nil" w:color="FFFFFF" w:sz="0"/>
              <w:right w:val="nil" w:color="FFFFFF" w:sz="0"/>
            </w:tcBorders>
            <w:tcMar>
              <w:top w:type="dxa" w:w="80"/>
              <w:left w:type="dxa" w:w="90"/>
              <w:bottom w:type="dxa" w:w="80"/>
              <w:right w:type="dxa" w:w="90"/>
            </w:tcMar>
            <w:vAlign w:val="center"/>
          </w:tcPr>
          <w:p>
            <w:pPr>
              <w:keepLines/>
              <w:spacing w:after="0" w:line="300" w:lineRule="exact"/>
              <w:jc w:val="both"/>
            </w:pPr>
            <w:r>
              <w:rPr>
                <w:rFonts w:ascii="Times New Roman" w:cs="Times New Roman" w:eastAsia="宋体" w:hAnsi="Times New Roman"/>
                <w:b w:val="false"/>
                <w:bCs w:val="false"/>
                <w:color w:val="000000"/>
                <w:sz w:val="19"/>
                <w:szCs w:val="19"/>
              </w:rPr>
              <w:t xml:space="preserve">不宣称知识图谱提高预测</w:t>
            </w:r>
          </w:p>
        </w:tc>
      </w:tr>
      <w:tr>
        <w:trPr>
          <w:cantSplit/>
          <w:tblHeader w:val="false"/>
        </w:trPr>
        <w:tc>
          <w:tcPr>
            <w:tcW w:type="dxa" w:w="1650"/>
            <w:tcBorders>
              <w:top w:val="nil" w:color="FFFFFF" w:sz="0"/>
              <w:left w:val="nil" w:color="FFFFFF" w:sz="0"/>
              <w:bottom w:val="single" w:color="000000" w:sz="12"/>
              <w:right w:val="nil" w:color="FFFFFF" w:sz="0"/>
            </w:tcBorders>
            <w:tcMar>
              <w:top w:type="dxa" w:w="80"/>
              <w:left w:type="dxa" w:w="90"/>
              <w:bottom w:type="dxa" w:w="80"/>
              <w:right w:type="dxa" w:w="90"/>
            </w:tcMar>
            <w:vAlign w:val="center"/>
          </w:tcPr>
          <w:p>
            <w:pPr>
              <w:keepLines/>
              <w:spacing w:after="0" w:line="300" w:lineRule="exact"/>
              <w:jc w:val="center"/>
            </w:pPr>
            <w:r>
              <w:rPr>
                <w:rFonts w:ascii="Times New Roman" w:cs="Times New Roman" w:eastAsia="宋体" w:hAnsi="Times New Roman"/>
                <w:b w:val="false"/>
                <w:bCs w:val="false"/>
                <w:color w:val="000000"/>
                <w:sz w:val="19"/>
                <w:szCs w:val="19"/>
              </w:rPr>
              <w:t xml:space="preserve">证据不足或相互冲突</w:t>
            </w:r>
          </w:p>
        </w:tc>
        <w:tc>
          <w:tcPr>
            <w:tcW w:type="dxa" w:w="2450"/>
            <w:tcBorders>
              <w:top w:val="nil" w:color="FFFFFF" w:sz="0"/>
              <w:left w:val="nil" w:color="FFFFFF" w:sz="0"/>
              <w:bottom w:val="single" w:color="000000" w:sz="12"/>
              <w:right w:val="nil" w:color="FFFFFF" w:sz="0"/>
            </w:tcBorders>
            <w:tcMar>
              <w:top w:type="dxa" w:w="80"/>
              <w:left w:type="dxa" w:w="90"/>
              <w:bottom w:type="dxa" w:w="80"/>
              <w:right w:type="dxa" w:w="90"/>
            </w:tcMar>
            <w:vAlign w:val="center"/>
          </w:tcPr>
          <w:p>
            <w:pPr>
              <w:keepLines/>
              <w:spacing w:after="0" w:line="300" w:lineRule="exact"/>
              <w:jc w:val="both"/>
            </w:pPr>
            <w:r>
              <w:rPr>
                <w:rFonts w:ascii="Times New Roman" w:cs="Times New Roman" w:eastAsia="宋体" w:hAnsi="Times New Roman"/>
                <w:b w:val="false"/>
                <w:bCs w:val="false"/>
                <w:color w:val="000000"/>
                <w:sz w:val="19"/>
                <w:szCs w:val="19"/>
              </w:rPr>
              <w:t xml:space="preserve">图路径无法回到原文或来源冲突</w:t>
            </w:r>
          </w:p>
        </w:tc>
        <w:tc>
          <w:tcPr>
            <w:tcW w:type="dxa" w:w="2400"/>
            <w:tcBorders>
              <w:top w:val="nil" w:color="FFFFFF" w:sz="0"/>
              <w:left w:val="nil" w:color="FFFFFF" w:sz="0"/>
              <w:bottom w:val="single" w:color="000000" w:sz="12"/>
              <w:right w:val="nil" w:color="FFFFFF" w:sz="0"/>
            </w:tcBorders>
            <w:tcMar>
              <w:top w:type="dxa" w:w="80"/>
              <w:left w:type="dxa" w:w="90"/>
              <w:bottom w:type="dxa" w:w="80"/>
              <w:right w:type="dxa" w:w="90"/>
            </w:tcMar>
            <w:vAlign w:val="center"/>
          </w:tcPr>
          <w:p>
            <w:pPr>
              <w:keepLines/>
              <w:spacing w:after="0" w:line="300" w:lineRule="exact"/>
              <w:jc w:val="both"/>
            </w:pPr>
            <w:r>
              <w:rPr>
                <w:rFonts w:ascii="Times New Roman" w:cs="Times New Roman" w:eastAsia="宋体" w:hAnsi="Times New Roman"/>
                <w:b w:val="false"/>
                <w:bCs w:val="false"/>
                <w:color w:val="000000"/>
                <w:sz w:val="19"/>
                <w:szCs w:val="19"/>
              </w:rPr>
              <w:t xml:space="preserve">输出“证据不足/冲突”并拒答</w:t>
            </w:r>
          </w:p>
        </w:tc>
        <w:tc>
          <w:tcPr>
            <w:tcW w:type="dxa" w:w="2458"/>
            <w:tcBorders>
              <w:top w:val="nil" w:color="FFFFFF" w:sz="0"/>
              <w:left w:val="nil" w:color="FFFFFF" w:sz="0"/>
              <w:bottom w:val="single" w:color="000000" w:sz="12"/>
              <w:right w:val="nil" w:color="FFFFFF" w:sz="0"/>
            </w:tcBorders>
            <w:tcMar>
              <w:top w:type="dxa" w:w="80"/>
              <w:left w:type="dxa" w:w="90"/>
              <w:bottom w:type="dxa" w:w="80"/>
              <w:right w:type="dxa" w:w="90"/>
            </w:tcMar>
            <w:vAlign w:val="center"/>
          </w:tcPr>
          <w:p>
            <w:pPr>
              <w:keepLines/>
              <w:spacing w:after="0" w:line="300" w:lineRule="exact"/>
              <w:jc w:val="both"/>
            </w:pPr>
            <w:r>
              <w:rPr>
                <w:rFonts w:ascii="Times New Roman" w:cs="Times New Roman" w:eastAsia="宋体" w:hAnsi="Times New Roman"/>
                <w:b w:val="false"/>
                <w:bCs w:val="false"/>
                <w:color w:val="000000"/>
                <w:sz w:val="19"/>
                <w:szCs w:val="19"/>
              </w:rPr>
              <w:t xml:space="preserve">不生成单一确定结论</w:t>
            </w:r>
          </w:p>
        </w:tc>
      </w:tr>
    </w:tbl>
    <w:p>
      <w:pPr>
        <w:spacing w:after="100"/>
      </w:pPr>
    </w:p>
    <w:p>
      <w:pPr>
        <w:keepNext/>
        <w:keepLines/>
        <w:widowControl/>
        <w:spacing w:after="140" w:before="240" w:line="360" w:lineRule="atLeast"/>
        <w:outlineLvl w:val="1"/>
      </w:pPr>
      <w:r>
        <w:rPr>
          <w:rFonts w:ascii="Times New Roman" w:cs="Times New Roman" w:eastAsia="黑体" w:hAnsi="Times New Roman"/>
          <w:b/>
          <w:bCs/>
          <w:color w:val="000000"/>
          <w:sz w:val="28"/>
          <w:szCs w:val="28"/>
        </w:rPr>
        <w:t xml:space="preserve">2.7 预期创新与可能贡献</w:t>
      </w:r>
    </w:p>
    <w:p>
      <w:pPr>
        <w:widowControl/>
        <w:spacing w:after="80" w:line="440" w:lineRule="exact"/>
        <w:ind w:left="480" w:hanging="480"/>
        <w:jc w:val="both"/>
      </w:pPr>
      <w:r>
        <w:rPr>
          <w:rFonts w:ascii="Times New Roman" w:cs="Times New Roman" w:eastAsia="宋体" w:hAnsi="Times New Roman"/>
          <w:b w:val="false"/>
          <w:bCs w:val="false"/>
          <w:color w:val="000000"/>
          <w:sz w:val="24"/>
          <w:szCs w:val="24"/>
        </w:rPr>
        <w:t xml:space="preserve">（1）把金融事件抽取的事件级正确性、知识图谱的时间一致性和风险识别的选择性可靠度组织为一条连续评价链。</w:t>
      </w:r>
    </w:p>
    <w:p>
      <w:pPr>
        <w:widowControl/>
        <w:spacing w:after="80" w:line="440" w:lineRule="exact"/>
        <w:ind w:left="480" w:hanging="480"/>
        <w:jc w:val="both"/>
      </w:pPr>
      <w:r>
        <w:rPr>
          <w:rFonts w:ascii="Times New Roman" w:cs="Times New Roman" w:eastAsia="宋体" w:hAnsi="Times New Roman"/>
          <w:b w:val="false"/>
          <w:bCs w:val="false"/>
          <w:color w:val="000000"/>
          <w:sz w:val="24"/>
          <w:szCs w:val="24"/>
        </w:rPr>
        <w:t xml:space="preserve">（2）为每个事件节点保留“公告—原文跨度—抽取置信度—schema 版本”，使图谱推理结果能够回到原始证据。</w:t>
      </w:r>
    </w:p>
    <w:p>
      <w:pPr>
        <w:widowControl/>
        <w:spacing w:after="80" w:line="440" w:lineRule="exact"/>
        <w:ind w:left="480" w:hanging="480"/>
        <w:jc w:val="both"/>
      </w:pPr>
      <w:r>
        <w:rPr>
          <w:rFonts w:ascii="Times New Roman" w:cs="Times New Roman" w:eastAsia="宋体" w:hAnsi="Times New Roman"/>
          <w:b w:val="false"/>
          <w:bCs w:val="false"/>
          <w:color w:val="000000"/>
          <w:sz w:val="24"/>
          <w:szCs w:val="24"/>
        </w:rPr>
        <w:t xml:space="preserve">（3）把拒答纳入金融风险识别评价，以覆盖率—风险曲线区分稳定提示、条件性提示与证据不足，避免对所有企业强制输出结论。</w:t>
      </w:r>
    </w:p>
    <w:p>
      <w:pPr>
        <w:keepNext/>
        <w:keepLines/>
        <w:pageBreakBefore/>
        <w:widowControl/>
        <w:spacing w:after="240" w:before="120" w:line="360" w:lineRule="atLeast"/>
        <w:outlineLvl w:val="0"/>
      </w:pPr>
      <w:r>
        <w:rPr>
          <w:rFonts w:ascii="Times New Roman" w:cs="Times New Roman" w:eastAsia="黑体" w:hAnsi="Times New Roman"/>
          <w:b/>
          <w:bCs/>
          <w:color w:val="000000"/>
          <w:sz w:val="32"/>
          <w:szCs w:val="32"/>
        </w:rPr>
        <w:t xml:space="preserve">（三）研究基础与进度安排</w:t>
      </w:r>
    </w:p>
    <w:p>
      <w:pPr>
        <w:keepNext/>
        <w:keepLines/>
        <w:widowControl/>
        <w:spacing w:after="140" w:before="240" w:line="360" w:lineRule="atLeast"/>
        <w:outlineLvl w:val="1"/>
      </w:pPr>
      <w:r>
        <w:rPr>
          <w:rFonts w:ascii="Times New Roman" w:cs="Times New Roman" w:eastAsia="黑体" w:hAnsi="Times New Roman"/>
          <w:b/>
          <w:bCs/>
          <w:color w:val="000000"/>
          <w:sz w:val="28"/>
          <w:szCs w:val="28"/>
        </w:rPr>
        <w:t xml:space="preserve">3.1 已完成的课程与方法训练</w:t>
      </w:r>
    </w:p>
    <w:p>
      <w:pPr>
        <w:widowControl/>
        <w:spacing w:after="80" w:line="440" w:lineRule="exact"/>
        <w:ind w:firstLine="480"/>
        <w:jc w:val="both"/>
      </w:pPr>
      <w:r>
        <w:rPr>
          <w:rFonts w:ascii="Times New Roman" w:cs="Times New Roman" w:eastAsia="宋体" w:hAnsi="Times New Roman"/>
          <w:b w:val="false"/>
          <w:bCs w:val="false"/>
          <w:color w:val="000000"/>
          <w:sz w:val="24"/>
          <w:szCs w:val="24"/>
        </w:rPr>
        <w:t xml:space="preserve">本人已接受数字经济、计量经济学、产业经济学和信息经济学等课程训练，现有材料显示 GPA 为 4.23/5，专业排名 5/178，计量经济学等核心课程成绩在 96 分以上。这些课程为企业行为理解、变量构造与实证结果阅读提供了基础。</w:t>
      </w:r>
    </w:p>
    <w:p>
      <w:pPr>
        <w:widowControl/>
        <w:spacing w:after="80" w:line="440" w:lineRule="exact"/>
        <w:ind w:firstLine="480"/>
        <w:jc w:val="both"/>
      </w:pPr>
      <w:r>
        <w:rPr>
          <w:rFonts w:ascii="Times New Roman" w:cs="Times New Roman" w:eastAsia="宋体" w:hAnsi="Times New Roman"/>
          <w:b w:val="false"/>
          <w:bCs w:val="false"/>
          <w:color w:val="000000"/>
          <w:sz w:val="24"/>
          <w:szCs w:val="24"/>
        </w:rPr>
        <w:t xml:space="preserve">在企业数字化项目研修中，本人接触 2012—2023 年 A 股 CSMAR 数据，项目样本为 41,687 条，涉及面板数据清洗、双向固定效应、调节效应、IV-2SLS、稳健性与异质性分析。该经历可迁移到公告主体对齐、企业时间切分、风险特征构造与结果稳健性评价。由于个人具体分工仍需在正式提交前复核，本计划仅将其作为项目研修和方法训练，不表述为独立主持成果。</w:t>
      </w:r>
    </w:p>
    <w:p>
      <w:pPr>
        <w:widowControl/>
        <w:spacing w:after="80" w:line="440" w:lineRule="exact"/>
        <w:ind w:firstLine="480"/>
        <w:jc w:val="both"/>
      </w:pPr>
      <w:r>
        <w:rPr>
          <w:rFonts w:ascii="Times New Roman" w:cs="Times New Roman" w:eastAsia="宋体" w:hAnsi="Times New Roman"/>
          <w:b w:val="false"/>
          <w:bCs w:val="false"/>
          <w:color w:val="000000"/>
          <w:sz w:val="24"/>
          <w:szCs w:val="24"/>
        </w:rPr>
        <w:t xml:space="preserve">在机器学习项目中，本人使用 1,000 条合成结构化样本比较 Ridge、随机森林、SVR、XGBoost 和 LightGBM，并使用 SHAP 解释模型，现有记录中 LightGBM 测试集 R² 为 0.8695。该经历说明本人具备多模型比较和可解释分析的入门基础，但合成数据结果不代表真实行业结论。本研究将补充分层评价、概率校准、时间外推和解释稳定性训练。</w:t>
      </w:r>
    </w:p>
    <w:p>
      <w:pPr>
        <w:keepNext/>
        <w:keepLines/>
        <w:widowControl/>
        <w:spacing w:after="140" w:before="240" w:line="360" w:lineRule="atLeast"/>
        <w:outlineLvl w:val="1"/>
      </w:pPr>
      <w:r>
        <w:rPr>
          <w:rFonts w:ascii="Times New Roman" w:cs="Times New Roman" w:eastAsia="黑体" w:hAnsi="Times New Roman"/>
          <w:b/>
          <w:bCs/>
          <w:color w:val="000000"/>
          <w:sz w:val="28"/>
          <w:szCs w:val="28"/>
        </w:rPr>
        <w:t xml:space="preserve">3.2 已完成工作、可迁移能力与明确缺口</w:t>
      </w:r>
    </w:p>
    <w:p>
      <w:pPr>
        <w:keepNext/>
        <w:keepLines/>
        <w:spacing w:after="80" w:before="120"/>
        <w:jc w:val="center"/>
      </w:pPr>
      <w:r>
        <w:rPr>
          <w:rFonts w:ascii="Times New Roman" w:cs="Times New Roman" w:eastAsia="宋体" w:hAnsi="Times New Roman"/>
          <w:b w:val="false"/>
          <w:bCs w:val="false"/>
          <w:color w:val="000000"/>
          <w:sz w:val="21"/>
          <w:szCs w:val="21"/>
        </w:rPr>
        <w:t xml:space="preserve">表4 已完成工作与待补能力</w:t>
      </w:r>
    </w:p>
    <w:tbl>
      <w:tblPr>
        <w:tblW w:type="dxa" w:w="8958"/>
        <w:tblBorders>
          <w:top w:val="single" w:color="auto" w:sz="4"/>
          <w:left w:val="single" w:color="auto" w:sz="4"/>
          <w:bottom w:val="single" w:color="auto" w:sz="4"/>
          <w:right w:val="single" w:color="auto" w:sz="4"/>
          <w:insideH w:val="single" w:color="auto" w:sz="4"/>
          <w:insideV w:val="single" w:color="auto" w:sz="4"/>
        </w:tblBorders>
      </w:tblPr>
      <w:tblGrid>
        <w:gridCol w:w="1650"/>
        <w:gridCol w:w="2450"/>
        <w:gridCol w:w="2400"/>
        <w:gridCol w:w="2458"/>
      </w:tblGrid>
      <w:tr>
        <w:trPr>
          <w:cantSplit/>
          <w:tblHeader/>
        </w:trPr>
        <w:tc>
          <w:tcPr>
            <w:tcW w:type="dxa" w:w="1650"/>
            <w:tcBorders>
              <w:top w:val="single" w:color="000000" w:sz="12"/>
              <w:left w:val="nil" w:color="FFFFFF" w:sz="0"/>
              <w:bottom w:val="single" w:color="000000" w:sz="6"/>
              <w:right w:val="nil" w:color="FFFFFF" w:sz="0"/>
            </w:tcBorders>
            <w:tcMar>
              <w:top w:type="dxa" w:w="80"/>
              <w:left w:type="dxa" w:w="90"/>
              <w:bottom w:type="dxa" w:w="80"/>
              <w:right w:type="dxa" w:w="90"/>
            </w:tcMar>
            <w:vAlign w:val="center"/>
          </w:tcPr>
          <w:p>
            <w:pPr>
              <w:keepLines/>
              <w:spacing w:after="0" w:line="300" w:lineRule="exact"/>
              <w:jc w:val="center"/>
            </w:pPr>
            <w:r>
              <w:rPr>
                <w:rFonts w:ascii="Times New Roman" w:cs="Times New Roman" w:eastAsia="黑体" w:hAnsi="Times New Roman"/>
                <w:b/>
                <w:bCs/>
                <w:color w:val="000000"/>
                <w:sz w:val="19"/>
                <w:szCs w:val="19"/>
              </w:rPr>
              <w:t xml:space="preserve">已完成工作</w:t>
            </w:r>
          </w:p>
        </w:tc>
        <w:tc>
          <w:tcPr>
            <w:tcW w:type="dxa" w:w="2450"/>
            <w:tcBorders>
              <w:top w:val="single" w:color="000000" w:sz="12"/>
              <w:left w:val="nil" w:color="FFFFFF" w:sz="0"/>
              <w:bottom w:val="single" w:color="000000" w:sz="6"/>
              <w:right w:val="nil" w:color="FFFFFF" w:sz="0"/>
            </w:tcBorders>
            <w:tcMar>
              <w:top w:type="dxa" w:w="80"/>
              <w:left w:type="dxa" w:w="90"/>
              <w:bottom w:type="dxa" w:w="80"/>
              <w:right w:type="dxa" w:w="90"/>
            </w:tcMar>
            <w:vAlign w:val="center"/>
          </w:tcPr>
          <w:p>
            <w:pPr>
              <w:keepLines/>
              <w:spacing w:after="0" w:line="300" w:lineRule="exact"/>
              <w:jc w:val="center"/>
            </w:pPr>
            <w:r>
              <w:rPr>
                <w:rFonts w:ascii="Times New Roman" w:cs="Times New Roman" w:eastAsia="黑体" w:hAnsi="Times New Roman"/>
                <w:b/>
                <w:bCs/>
                <w:color w:val="000000"/>
                <w:sz w:val="19"/>
                <w:szCs w:val="19"/>
              </w:rPr>
              <w:t xml:space="preserve">可迁移到本研究的能力</w:t>
            </w:r>
          </w:p>
        </w:tc>
        <w:tc>
          <w:tcPr>
            <w:tcW w:type="dxa" w:w="2400"/>
            <w:tcBorders>
              <w:top w:val="single" w:color="000000" w:sz="12"/>
              <w:left w:val="nil" w:color="FFFFFF" w:sz="0"/>
              <w:bottom w:val="single" w:color="000000" w:sz="6"/>
              <w:right w:val="nil" w:color="FFFFFF" w:sz="0"/>
            </w:tcBorders>
            <w:tcMar>
              <w:top w:type="dxa" w:w="80"/>
              <w:left w:type="dxa" w:w="90"/>
              <w:bottom w:type="dxa" w:w="80"/>
              <w:right w:type="dxa" w:w="90"/>
            </w:tcMar>
            <w:vAlign w:val="center"/>
          </w:tcPr>
          <w:p>
            <w:pPr>
              <w:keepLines/>
              <w:spacing w:after="0" w:line="300" w:lineRule="exact"/>
              <w:jc w:val="center"/>
            </w:pPr>
            <w:r>
              <w:rPr>
                <w:rFonts w:ascii="Times New Roman" w:cs="Times New Roman" w:eastAsia="黑体" w:hAnsi="Times New Roman"/>
                <w:b/>
                <w:bCs/>
                <w:color w:val="000000"/>
                <w:sz w:val="19"/>
                <w:szCs w:val="19"/>
              </w:rPr>
              <w:t xml:space="preserve">当前缺口</w:t>
            </w:r>
          </w:p>
        </w:tc>
        <w:tc>
          <w:tcPr>
            <w:tcW w:type="dxa" w:w="2458"/>
            <w:tcBorders>
              <w:top w:val="single" w:color="000000" w:sz="12"/>
              <w:left w:val="nil" w:color="FFFFFF" w:sz="0"/>
              <w:bottom w:val="single" w:color="000000" w:sz="6"/>
              <w:right w:val="nil" w:color="FFFFFF" w:sz="0"/>
            </w:tcBorders>
            <w:tcMar>
              <w:top w:type="dxa" w:w="80"/>
              <w:left w:type="dxa" w:w="90"/>
              <w:bottom w:type="dxa" w:w="80"/>
              <w:right w:type="dxa" w:w="90"/>
            </w:tcMar>
            <w:vAlign w:val="center"/>
          </w:tcPr>
          <w:p>
            <w:pPr>
              <w:keepLines/>
              <w:spacing w:after="0" w:line="300" w:lineRule="exact"/>
              <w:jc w:val="center"/>
            </w:pPr>
            <w:r>
              <w:rPr>
                <w:rFonts w:ascii="Times New Roman" w:cs="Times New Roman" w:eastAsia="黑体" w:hAnsi="Times New Roman"/>
                <w:b/>
                <w:bCs/>
                <w:color w:val="000000"/>
                <w:sz w:val="19"/>
                <w:szCs w:val="19"/>
              </w:rPr>
              <w:t xml:space="preserve">前期补齐方式</w:t>
            </w:r>
          </w:p>
        </w:tc>
      </w:tr>
      <w:tr>
        <w:trPr>
          <w:cantSplit/>
          <w:tblHeader w:val="false"/>
        </w:trPr>
        <w:tc>
          <w:tcPr>
            <w:tcW w:type="dxa" w:w="1650"/>
            <w:tcBorders>
              <w:top w:val="nil" w:color="FFFFFF" w:sz="0"/>
              <w:left w:val="nil" w:color="FFFFFF" w:sz="0"/>
              <w:bottom w:val="nil" w:color="FFFFFF" w:sz="0"/>
              <w:right w:val="nil" w:color="FFFFFF" w:sz="0"/>
            </w:tcBorders>
            <w:tcMar>
              <w:top w:type="dxa" w:w="80"/>
              <w:left w:type="dxa" w:w="90"/>
              <w:bottom w:type="dxa" w:w="80"/>
              <w:right w:type="dxa" w:w="90"/>
            </w:tcMar>
            <w:vAlign w:val="center"/>
          </w:tcPr>
          <w:p>
            <w:pPr>
              <w:keepLines/>
              <w:spacing w:after="0" w:line="300" w:lineRule="exact"/>
              <w:jc w:val="center"/>
            </w:pPr>
            <w:r>
              <w:rPr>
                <w:rFonts w:ascii="Times New Roman" w:cs="Times New Roman" w:eastAsia="宋体" w:hAnsi="Times New Roman"/>
                <w:b w:val="false"/>
                <w:bCs w:val="false"/>
                <w:color w:val="000000"/>
                <w:sz w:val="19"/>
                <w:szCs w:val="19"/>
              </w:rPr>
              <w:t xml:space="preserve">A 股面板数据清洗与变量构造研修</w:t>
            </w:r>
          </w:p>
        </w:tc>
        <w:tc>
          <w:tcPr>
            <w:tcW w:type="dxa" w:w="2450"/>
            <w:tcBorders>
              <w:top w:val="nil" w:color="FFFFFF" w:sz="0"/>
              <w:left w:val="nil" w:color="FFFFFF" w:sz="0"/>
              <w:bottom w:val="nil" w:color="FFFFFF" w:sz="0"/>
              <w:right w:val="nil" w:color="FFFFFF" w:sz="0"/>
            </w:tcBorders>
            <w:tcMar>
              <w:top w:type="dxa" w:w="80"/>
              <w:left w:type="dxa" w:w="90"/>
              <w:bottom w:type="dxa" w:w="80"/>
              <w:right w:type="dxa" w:w="90"/>
            </w:tcMar>
            <w:vAlign w:val="center"/>
          </w:tcPr>
          <w:p>
            <w:pPr>
              <w:keepLines/>
              <w:spacing w:after="0" w:line="300" w:lineRule="exact"/>
              <w:jc w:val="both"/>
            </w:pPr>
            <w:r>
              <w:rPr>
                <w:rFonts w:ascii="Times New Roman" w:cs="Times New Roman" w:eastAsia="宋体" w:hAnsi="Times New Roman"/>
                <w:b w:val="false"/>
                <w:bCs w:val="false"/>
                <w:color w:val="000000"/>
                <w:sz w:val="19"/>
                <w:szCs w:val="19"/>
              </w:rPr>
              <w:t xml:space="preserve">企业—年份数据治理、缺失与异常检查</w:t>
            </w:r>
          </w:p>
        </w:tc>
        <w:tc>
          <w:tcPr>
            <w:tcW w:type="dxa" w:w="2400"/>
            <w:tcBorders>
              <w:top w:val="nil" w:color="FFFFFF" w:sz="0"/>
              <w:left w:val="nil" w:color="FFFFFF" w:sz="0"/>
              <w:bottom w:val="nil" w:color="FFFFFF" w:sz="0"/>
              <w:right w:val="nil" w:color="FFFFFF" w:sz="0"/>
            </w:tcBorders>
            <w:tcMar>
              <w:top w:type="dxa" w:w="80"/>
              <w:left w:type="dxa" w:w="90"/>
              <w:bottom w:type="dxa" w:w="80"/>
              <w:right w:type="dxa" w:w="90"/>
            </w:tcMar>
            <w:vAlign w:val="center"/>
          </w:tcPr>
          <w:p>
            <w:pPr>
              <w:keepLines/>
              <w:spacing w:after="0" w:line="300" w:lineRule="exact"/>
              <w:jc w:val="both"/>
            </w:pPr>
            <w:r>
              <w:rPr>
                <w:rFonts w:ascii="Times New Roman" w:cs="Times New Roman" w:eastAsia="宋体" w:hAnsi="Times New Roman"/>
                <w:b w:val="false"/>
                <w:bCs w:val="false"/>
                <w:color w:val="000000"/>
                <w:sz w:val="19"/>
                <w:szCs w:val="19"/>
              </w:rPr>
              <w:t xml:space="preserve">非结构化公告解析</w:t>
            </w:r>
          </w:p>
        </w:tc>
        <w:tc>
          <w:tcPr>
            <w:tcW w:type="dxa" w:w="2458"/>
            <w:tcBorders>
              <w:top w:val="nil" w:color="FFFFFF" w:sz="0"/>
              <w:left w:val="nil" w:color="FFFFFF" w:sz="0"/>
              <w:bottom w:val="nil" w:color="FFFFFF" w:sz="0"/>
              <w:right w:val="nil" w:color="FFFFFF" w:sz="0"/>
            </w:tcBorders>
            <w:tcMar>
              <w:top w:type="dxa" w:w="80"/>
              <w:left w:type="dxa" w:w="90"/>
              <w:bottom w:type="dxa" w:w="80"/>
              <w:right w:type="dxa" w:w="90"/>
            </w:tcMar>
            <w:vAlign w:val="center"/>
          </w:tcPr>
          <w:p>
            <w:pPr>
              <w:keepLines/>
              <w:spacing w:after="0" w:line="300" w:lineRule="exact"/>
              <w:jc w:val="both"/>
            </w:pPr>
            <w:r>
              <w:rPr>
                <w:rFonts w:ascii="Times New Roman" w:cs="Times New Roman" w:eastAsia="宋体" w:hAnsi="Times New Roman"/>
                <w:b w:val="false"/>
                <w:bCs w:val="false"/>
                <w:color w:val="000000"/>
                <w:sz w:val="19"/>
                <w:szCs w:val="19"/>
              </w:rPr>
              <w:t xml:space="preserve">复现 DocFEE 数据读取和长文档切分</w:t>
            </w:r>
          </w:p>
        </w:tc>
      </w:tr>
      <w:tr>
        <w:trPr>
          <w:cantSplit/>
          <w:tblHeader w:val="false"/>
        </w:trPr>
        <w:tc>
          <w:tcPr>
            <w:tcW w:type="dxa" w:w="1650"/>
            <w:tcBorders>
              <w:top w:val="nil" w:color="FFFFFF" w:sz="0"/>
              <w:left w:val="nil" w:color="FFFFFF" w:sz="0"/>
              <w:bottom w:val="nil" w:color="FFFFFF" w:sz="0"/>
              <w:right w:val="nil" w:color="FFFFFF" w:sz="0"/>
            </w:tcBorders>
            <w:tcMar>
              <w:top w:type="dxa" w:w="80"/>
              <w:left w:type="dxa" w:w="90"/>
              <w:bottom w:type="dxa" w:w="80"/>
              <w:right w:type="dxa" w:w="90"/>
            </w:tcMar>
            <w:vAlign w:val="center"/>
          </w:tcPr>
          <w:p>
            <w:pPr>
              <w:keepLines/>
              <w:spacing w:after="0" w:line="300" w:lineRule="exact"/>
              <w:jc w:val="center"/>
            </w:pPr>
            <w:r>
              <w:rPr>
                <w:rFonts w:ascii="Times New Roman" w:cs="Times New Roman" w:eastAsia="宋体" w:hAnsi="Times New Roman"/>
                <w:b w:val="false"/>
                <w:bCs w:val="false"/>
                <w:color w:val="000000"/>
                <w:sz w:val="19"/>
                <w:szCs w:val="19"/>
              </w:rPr>
              <w:t xml:space="preserve">固定效应、IV、稳健性与异质性训练</w:t>
            </w:r>
          </w:p>
        </w:tc>
        <w:tc>
          <w:tcPr>
            <w:tcW w:type="dxa" w:w="2450"/>
            <w:tcBorders>
              <w:top w:val="nil" w:color="FFFFFF" w:sz="0"/>
              <w:left w:val="nil" w:color="FFFFFF" w:sz="0"/>
              <w:bottom w:val="nil" w:color="FFFFFF" w:sz="0"/>
              <w:right w:val="nil" w:color="FFFFFF" w:sz="0"/>
            </w:tcBorders>
            <w:tcMar>
              <w:top w:type="dxa" w:w="80"/>
              <w:left w:type="dxa" w:w="90"/>
              <w:bottom w:type="dxa" w:w="80"/>
              <w:right w:type="dxa" w:w="90"/>
            </w:tcMar>
            <w:vAlign w:val="center"/>
          </w:tcPr>
          <w:p>
            <w:pPr>
              <w:keepLines/>
              <w:spacing w:after="0" w:line="300" w:lineRule="exact"/>
              <w:jc w:val="both"/>
            </w:pPr>
            <w:r>
              <w:rPr>
                <w:rFonts w:ascii="Times New Roman" w:cs="Times New Roman" w:eastAsia="宋体" w:hAnsi="Times New Roman"/>
                <w:b w:val="false"/>
                <w:bCs w:val="false"/>
                <w:color w:val="000000"/>
                <w:sz w:val="19"/>
                <w:szCs w:val="19"/>
              </w:rPr>
              <w:t xml:space="preserve">切分意识、替代设定与边界解释</w:t>
            </w:r>
          </w:p>
        </w:tc>
        <w:tc>
          <w:tcPr>
            <w:tcW w:type="dxa" w:w="2400"/>
            <w:tcBorders>
              <w:top w:val="nil" w:color="FFFFFF" w:sz="0"/>
              <w:left w:val="nil" w:color="FFFFFF" w:sz="0"/>
              <w:bottom w:val="nil" w:color="FFFFFF" w:sz="0"/>
              <w:right w:val="nil" w:color="FFFFFF" w:sz="0"/>
            </w:tcBorders>
            <w:tcMar>
              <w:top w:type="dxa" w:w="80"/>
              <w:left w:type="dxa" w:w="90"/>
              <w:bottom w:type="dxa" w:w="80"/>
              <w:right w:type="dxa" w:w="90"/>
            </w:tcMar>
            <w:vAlign w:val="center"/>
          </w:tcPr>
          <w:p>
            <w:pPr>
              <w:keepLines/>
              <w:spacing w:after="0" w:line="300" w:lineRule="exact"/>
              <w:jc w:val="both"/>
            </w:pPr>
            <w:r>
              <w:rPr>
                <w:rFonts w:ascii="Times New Roman" w:cs="Times New Roman" w:eastAsia="宋体" w:hAnsi="Times New Roman"/>
                <w:b w:val="false"/>
                <w:bCs w:val="false"/>
                <w:color w:val="000000"/>
                <w:sz w:val="19"/>
                <w:szCs w:val="19"/>
              </w:rPr>
              <w:t xml:space="preserve">事件抽取评价</w:t>
            </w:r>
          </w:p>
        </w:tc>
        <w:tc>
          <w:tcPr>
            <w:tcW w:type="dxa" w:w="2458"/>
            <w:tcBorders>
              <w:top w:val="nil" w:color="FFFFFF" w:sz="0"/>
              <w:left w:val="nil" w:color="FFFFFF" w:sz="0"/>
              <w:bottom w:val="nil" w:color="FFFFFF" w:sz="0"/>
              <w:right w:val="nil" w:color="FFFFFF" w:sz="0"/>
            </w:tcBorders>
            <w:tcMar>
              <w:top w:type="dxa" w:w="80"/>
              <w:left w:type="dxa" w:w="90"/>
              <w:bottom w:type="dxa" w:w="80"/>
              <w:right w:type="dxa" w:w="90"/>
            </w:tcMar>
            <w:vAlign w:val="center"/>
          </w:tcPr>
          <w:p>
            <w:pPr>
              <w:keepLines/>
              <w:spacing w:after="0" w:line="300" w:lineRule="exact"/>
              <w:jc w:val="both"/>
            </w:pPr>
            <w:r>
              <w:rPr>
                <w:rFonts w:ascii="Times New Roman" w:cs="Times New Roman" w:eastAsia="宋体" w:hAnsi="Times New Roman"/>
                <w:b w:val="false"/>
                <w:bCs w:val="false"/>
                <w:color w:val="000000"/>
                <w:sz w:val="19"/>
                <w:szCs w:val="19"/>
              </w:rPr>
              <w:t xml:space="preserve">复现 DCFEE/Doc2EDAG 基线与误差分析</w:t>
            </w:r>
          </w:p>
        </w:tc>
      </w:tr>
      <w:tr>
        <w:trPr>
          <w:cantSplit/>
          <w:tblHeader w:val="false"/>
        </w:trPr>
        <w:tc>
          <w:tcPr>
            <w:tcW w:type="dxa" w:w="1650"/>
            <w:tcBorders>
              <w:top w:val="nil" w:color="FFFFFF" w:sz="0"/>
              <w:left w:val="nil" w:color="FFFFFF" w:sz="0"/>
              <w:bottom w:val="nil" w:color="FFFFFF" w:sz="0"/>
              <w:right w:val="nil" w:color="FFFFFF" w:sz="0"/>
            </w:tcBorders>
            <w:tcMar>
              <w:top w:type="dxa" w:w="80"/>
              <w:left w:type="dxa" w:w="90"/>
              <w:bottom w:type="dxa" w:w="80"/>
              <w:right w:type="dxa" w:w="90"/>
            </w:tcMar>
            <w:vAlign w:val="center"/>
          </w:tcPr>
          <w:p>
            <w:pPr>
              <w:keepLines/>
              <w:spacing w:after="0" w:line="300" w:lineRule="exact"/>
              <w:jc w:val="center"/>
            </w:pPr>
            <w:r>
              <w:rPr>
                <w:rFonts w:ascii="Times New Roman" w:cs="Times New Roman" w:eastAsia="宋体" w:hAnsi="Times New Roman"/>
                <w:b w:val="false"/>
                <w:bCs w:val="false"/>
                <w:color w:val="000000"/>
                <w:sz w:val="19"/>
                <w:szCs w:val="19"/>
              </w:rPr>
              <w:t xml:space="preserve">LightGBM 与 SHAP 项目</w:t>
            </w:r>
          </w:p>
        </w:tc>
        <w:tc>
          <w:tcPr>
            <w:tcW w:type="dxa" w:w="2450"/>
            <w:tcBorders>
              <w:top w:val="nil" w:color="FFFFFF" w:sz="0"/>
              <w:left w:val="nil" w:color="FFFFFF" w:sz="0"/>
              <w:bottom w:val="nil" w:color="FFFFFF" w:sz="0"/>
              <w:right w:val="nil" w:color="FFFFFF" w:sz="0"/>
            </w:tcBorders>
            <w:tcMar>
              <w:top w:type="dxa" w:w="80"/>
              <w:left w:type="dxa" w:w="90"/>
              <w:bottom w:type="dxa" w:w="80"/>
              <w:right w:type="dxa" w:w="90"/>
            </w:tcMar>
            <w:vAlign w:val="center"/>
          </w:tcPr>
          <w:p>
            <w:pPr>
              <w:keepLines/>
              <w:spacing w:after="0" w:line="300" w:lineRule="exact"/>
              <w:jc w:val="both"/>
            </w:pPr>
            <w:r>
              <w:rPr>
                <w:rFonts w:ascii="Times New Roman" w:cs="Times New Roman" w:eastAsia="宋体" w:hAnsi="Times New Roman"/>
                <w:b w:val="false"/>
                <w:bCs w:val="false"/>
                <w:color w:val="000000"/>
                <w:sz w:val="19"/>
                <w:szCs w:val="19"/>
              </w:rPr>
              <w:t xml:space="preserve">透明基线、多模型比较、局部解释</w:t>
            </w:r>
          </w:p>
        </w:tc>
        <w:tc>
          <w:tcPr>
            <w:tcW w:type="dxa" w:w="2400"/>
            <w:tcBorders>
              <w:top w:val="nil" w:color="FFFFFF" w:sz="0"/>
              <w:left w:val="nil" w:color="FFFFFF" w:sz="0"/>
              <w:bottom w:val="nil" w:color="FFFFFF" w:sz="0"/>
              <w:right w:val="nil" w:color="FFFFFF" w:sz="0"/>
            </w:tcBorders>
            <w:tcMar>
              <w:top w:type="dxa" w:w="80"/>
              <w:left w:type="dxa" w:w="90"/>
              <w:bottom w:type="dxa" w:w="80"/>
              <w:right w:type="dxa" w:w="90"/>
            </w:tcMar>
            <w:vAlign w:val="center"/>
          </w:tcPr>
          <w:p>
            <w:pPr>
              <w:keepLines/>
              <w:spacing w:after="0" w:line="300" w:lineRule="exact"/>
              <w:jc w:val="both"/>
            </w:pPr>
            <w:r>
              <w:rPr>
                <w:rFonts w:ascii="Times New Roman" w:cs="Times New Roman" w:eastAsia="宋体" w:hAnsi="Times New Roman"/>
                <w:b w:val="false"/>
                <w:bCs w:val="false"/>
                <w:color w:val="000000"/>
                <w:sz w:val="19"/>
                <w:szCs w:val="19"/>
              </w:rPr>
              <w:t xml:space="preserve">知识图谱与图推理</w:t>
            </w:r>
          </w:p>
        </w:tc>
        <w:tc>
          <w:tcPr>
            <w:tcW w:type="dxa" w:w="2458"/>
            <w:tcBorders>
              <w:top w:val="nil" w:color="FFFFFF" w:sz="0"/>
              <w:left w:val="nil" w:color="FFFFFF" w:sz="0"/>
              <w:bottom w:val="nil" w:color="FFFFFF" w:sz="0"/>
              <w:right w:val="nil" w:color="FFFFFF" w:sz="0"/>
            </w:tcBorders>
            <w:tcMar>
              <w:top w:type="dxa" w:w="80"/>
              <w:left w:type="dxa" w:w="90"/>
              <w:bottom w:type="dxa" w:w="80"/>
              <w:right w:type="dxa" w:w="90"/>
            </w:tcMar>
            <w:vAlign w:val="center"/>
          </w:tcPr>
          <w:p>
            <w:pPr>
              <w:keepLines/>
              <w:spacing w:after="0" w:line="300" w:lineRule="exact"/>
              <w:jc w:val="both"/>
            </w:pPr>
            <w:r>
              <w:rPr>
                <w:rFonts w:ascii="Times New Roman" w:cs="Times New Roman" w:eastAsia="宋体" w:hAnsi="Times New Roman"/>
                <w:b w:val="false"/>
                <w:bCs w:val="false"/>
                <w:color w:val="000000"/>
                <w:sz w:val="19"/>
                <w:szCs w:val="19"/>
              </w:rPr>
              <w:t xml:space="preserve">学习 RDF/属性图、Neo4j/NetworkX 和实体对齐</w:t>
            </w:r>
          </w:p>
        </w:tc>
      </w:tr>
      <w:tr>
        <w:trPr>
          <w:cantSplit/>
          <w:tblHeader w:val="false"/>
        </w:trPr>
        <w:tc>
          <w:tcPr>
            <w:tcW w:type="dxa" w:w="1650"/>
            <w:tcBorders>
              <w:top w:val="nil" w:color="FFFFFF" w:sz="0"/>
              <w:left w:val="nil" w:color="FFFFFF" w:sz="0"/>
              <w:bottom w:val="single" w:color="000000" w:sz="12"/>
              <w:right w:val="nil" w:color="FFFFFF" w:sz="0"/>
            </w:tcBorders>
            <w:tcMar>
              <w:top w:type="dxa" w:w="80"/>
              <w:left w:type="dxa" w:w="90"/>
              <w:bottom w:type="dxa" w:w="80"/>
              <w:right w:type="dxa" w:w="90"/>
            </w:tcMar>
            <w:vAlign w:val="center"/>
          </w:tcPr>
          <w:p>
            <w:pPr>
              <w:keepLines/>
              <w:spacing w:after="0" w:line="300" w:lineRule="exact"/>
              <w:jc w:val="center"/>
            </w:pPr>
            <w:r>
              <w:rPr>
                <w:rFonts w:ascii="Times New Roman" w:cs="Times New Roman" w:eastAsia="宋体" w:hAnsi="Times New Roman"/>
                <w:b w:val="false"/>
                <w:bCs w:val="false"/>
                <w:color w:val="000000"/>
                <w:sz w:val="19"/>
                <w:szCs w:val="19"/>
              </w:rPr>
              <w:t xml:space="preserve">数据治理兴趣</w:t>
            </w:r>
          </w:p>
        </w:tc>
        <w:tc>
          <w:tcPr>
            <w:tcW w:type="dxa" w:w="2450"/>
            <w:tcBorders>
              <w:top w:val="nil" w:color="FFFFFF" w:sz="0"/>
              <w:left w:val="nil" w:color="FFFFFF" w:sz="0"/>
              <w:bottom w:val="single" w:color="000000" w:sz="12"/>
              <w:right w:val="nil" w:color="FFFFFF" w:sz="0"/>
            </w:tcBorders>
            <w:tcMar>
              <w:top w:type="dxa" w:w="80"/>
              <w:left w:type="dxa" w:w="90"/>
              <w:bottom w:type="dxa" w:w="80"/>
              <w:right w:type="dxa" w:w="90"/>
            </w:tcMar>
            <w:vAlign w:val="center"/>
          </w:tcPr>
          <w:p>
            <w:pPr>
              <w:keepLines/>
              <w:spacing w:after="0" w:line="300" w:lineRule="exact"/>
              <w:jc w:val="both"/>
            </w:pPr>
            <w:r>
              <w:rPr>
                <w:rFonts w:ascii="Times New Roman" w:cs="Times New Roman" w:eastAsia="宋体" w:hAnsi="Times New Roman"/>
                <w:b w:val="false"/>
                <w:bCs w:val="false"/>
                <w:color w:val="000000"/>
                <w:sz w:val="19"/>
                <w:szCs w:val="19"/>
              </w:rPr>
              <w:t xml:space="preserve">来源、口径和结论边界意识</w:t>
            </w:r>
          </w:p>
        </w:tc>
        <w:tc>
          <w:tcPr>
            <w:tcW w:type="dxa" w:w="2400"/>
            <w:tcBorders>
              <w:top w:val="nil" w:color="FFFFFF" w:sz="0"/>
              <w:left w:val="nil" w:color="FFFFFF" w:sz="0"/>
              <w:bottom w:val="single" w:color="000000" w:sz="12"/>
              <w:right w:val="nil" w:color="FFFFFF" w:sz="0"/>
            </w:tcBorders>
            <w:tcMar>
              <w:top w:type="dxa" w:w="80"/>
              <w:left w:type="dxa" w:w="90"/>
              <w:bottom w:type="dxa" w:w="80"/>
              <w:right w:type="dxa" w:w="90"/>
            </w:tcMar>
            <w:vAlign w:val="center"/>
          </w:tcPr>
          <w:p>
            <w:pPr>
              <w:keepLines/>
              <w:spacing w:after="0" w:line="300" w:lineRule="exact"/>
              <w:jc w:val="both"/>
            </w:pPr>
            <w:r>
              <w:rPr>
                <w:rFonts w:ascii="Times New Roman" w:cs="Times New Roman" w:eastAsia="宋体" w:hAnsi="Times New Roman"/>
                <w:b w:val="false"/>
                <w:bCs w:val="false"/>
                <w:color w:val="000000"/>
                <w:sz w:val="19"/>
                <w:szCs w:val="19"/>
              </w:rPr>
              <w:t xml:space="preserve">KG-RAG 与证据链</w:t>
            </w:r>
          </w:p>
        </w:tc>
        <w:tc>
          <w:tcPr>
            <w:tcW w:type="dxa" w:w="2458"/>
            <w:tcBorders>
              <w:top w:val="nil" w:color="FFFFFF" w:sz="0"/>
              <w:left w:val="nil" w:color="FFFFFF" w:sz="0"/>
              <w:bottom w:val="single" w:color="000000" w:sz="12"/>
              <w:right w:val="nil" w:color="FFFFFF" w:sz="0"/>
            </w:tcBorders>
            <w:tcMar>
              <w:top w:type="dxa" w:w="80"/>
              <w:left w:type="dxa" w:w="90"/>
              <w:bottom w:type="dxa" w:w="80"/>
              <w:right w:type="dxa" w:w="90"/>
            </w:tcMar>
            <w:vAlign w:val="center"/>
          </w:tcPr>
          <w:p>
            <w:pPr>
              <w:keepLines/>
              <w:spacing w:after="0" w:line="300" w:lineRule="exact"/>
              <w:jc w:val="both"/>
            </w:pPr>
            <w:r>
              <w:rPr>
                <w:rFonts w:ascii="Times New Roman" w:cs="Times New Roman" w:eastAsia="宋体" w:hAnsi="Times New Roman"/>
                <w:b w:val="false"/>
                <w:bCs w:val="false"/>
                <w:color w:val="000000"/>
                <w:sz w:val="19"/>
                <w:szCs w:val="19"/>
              </w:rPr>
              <w:t xml:space="preserve">实现图节点到原文跨度的双向索引</w:t>
            </w:r>
          </w:p>
        </w:tc>
      </w:tr>
    </w:tbl>
    <w:p>
      <w:pPr>
        <w:spacing w:after="100"/>
      </w:pPr>
    </w:p>
    <w:p>
      <w:pPr>
        <w:keepNext/>
        <w:keepLines/>
        <w:widowControl/>
        <w:spacing w:after="140" w:before="240" w:line="360" w:lineRule="atLeast"/>
        <w:outlineLvl w:val="1"/>
      </w:pPr>
      <w:r>
        <w:rPr>
          <w:rFonts w:ascii="Times New Roman" w:cs="Times New Roman" w:eastAsia="黑体" w:hAnsi="Times New Roman"/>
          <w:b/>
          <w:bCs/>
          <w:color w:val="000000"/>
          <w:sz w:val="28"/>
          <w:szCs w:val="28"/>
        </w:rPr>
        <w:t xml:space="preserve">3.3 待完成工作与二十四周安排</w:t>
      </w:r>
    </w:p>
    <w:p>
      <w:pPr>
        <w:widowControl/>
        <w:spacing w:after="80" w:line="440" w:lineRule="exact"/>
        <w:ind w:firstLine="480"/>
        <w:jc w:val="both"/>
      </w:pPr>
      <w:r>
        <w:rPr>
          <w:rFonts w:ascii="Times New Roman" w:cs="Times New Roman" w:eastAsia="宋体" w:hAnsi="Times New Roman"/>
          <w:b w:val="false"/>
          <w:bCs w:val="false"/>
          <w:color w:val="000000"/>
          <w:sz w:val="24"/>
          <w:szCs w:val="24"/>
        </w:rPr>
        <w:t xml:space="preserve">本研究先完成公开数据复现和最小图谱，再逐步增加证据增强与风险任务。若真实公告下载、导师数据或算力未落实，公开 DocFEE 数据上的抽取、构图和评价工作仍可独立完成，不影响前十二周产出。</w:t>
      </w:r>
    </w:p>
    <w:p>
      <w:pPr>
        <w:keepNext/>
        <w:keepLines/>
        <w:spacing w:after="80" w:before="120"/>
        <w:jc w:val="center"/>
      </w:pPr>
      <w:r>
        <w:rPr>
          <w:rFonts w:ascii="Times New Roman" w:cs="Times New Roman" w:eastAsia="宋体" w:hAnsi="Times New Roman"/>
          <w:b w:val="false"/>
          <w:bCs w:val="false"/>
          <w:color w:val="000000"/>
          <w:sz w:val="21"/>
          <w:szCs w:val="21"/>
        </w:rPr>
        <w:t xml:space="preserve">表5 二十四周研究进度与阶段验收</w:t>
      </w:r>
    </w:p>
    <w:tbl>
      <w:tblPr>
        <w:tblW w:type="dxa" w:w="8958"/>
        <w:tblBorders>
          <w:top w:val="single" w:color="auto" w:sz="4"/>
          <w:left w:val="single" w:color="auto" w:sz="4"/>
          <w:bottom w:val="single" w:color="auto" w:sz="4"/>
          <w:right w:val="single" w:color="auto" w:sz="4"/>
          <w:insideH w:val="single" w:color="auto" w:sz="4"/>
          <w:insideV w:val="single" w:color="auto" w:sz="4"/>
        </w:tblBorders>
      </w:tblPr>
      <w:tblGrid>
        <w:gridCol w:w="950"/>
        <w:gridCol w:w="1150"/>
        <w:gridCol w:w="2200"/>
        <w:gridCol w:w="2200"/>
        <w:gridCol w:w="2458"/>
      </w:tblGrid>
      <w:tr>
        <w:trPr>
          <w:cantSplit/>
          <w:tblHeader/>
        </w:trPr>
        <w:tc>
          <w:tcPr>
            <w:tcW w:type="dxa" w:w="950"/>
            <w:tcBorders>
              <w:top w:val="single" w:color="000000" w:sz="12"/>
              <w:left w:val="nil" w:color="FFFFFF" w:sz="0"/>
              <w:bottom w:val="single" w:color="000000" w:sz="6"/>
              <w:right w:val="nil" w:color="FFFFFF" w:sz="0"/>
            </w:tcBorders>
            <w:tcMar>
              <w:top w:type="dxa" w:w="80"/>
              <w:left w:type="dxa" w:w="90"/>
              <w:bottom w:type="dxa" w:w="80"/>
              <w:right w:type="dxa" w:w="90"/>
            </w:tcMar>
            <w:vAlign w:val="center"/>
          </w:tcPr>
          <w:p>
            <w:pPr>
              <w:keepLines/>
              <w:spacing w:after="0" w:line="300" w:lineRule="exact"/>
              <w:jc w:val="center"/>
            </w:pPr>
            <w:r>
              <w:rPr>
                <w:rFonts w:ascii="Times New Roman" w:cs="Times New Roman" w:eastAsia="黑体" w:hAnsi="Times New Roman"/>
                <w:b/>
                <w:bCs/>
                <w:color w:val="000000"/>
                <w:sz w:val="19"/>
                <w:szCs w:val="19"/>
              </w:rPr>
              <w:t xml:space="preserve">阶段</w:t>
            </w:r>
          </w:p>
        </w:tc>
        <w:tc>
          <w:tcPr>
            <w:tcW w:type="dxa" w:w="1150"/>
            <w:tcBorders>
              <w:top w:val="single" w:color="000000" w:sz="12"/>
              <w:left w:val="nil" w:color="FFFFFF" w:sz="0"/>
              <w:bottom w:val="single" w:color="000000" w:sz="6"/>
              <w:right w:val="nil" w:color="FFFFFF" w:sz="0"/>
            </w:tcBorders>
            <w:tcMar>
              <w:top w:type="dxa" w:w="80"/>
              <w:left w:type="dxa" w:w="90"/>
              <w:bottom w:type="dxa" w:w="80"/>
              <w:right w:type="dxa" w:w="90"/>
            </w:tcMar>
            <w:vAlign w:val="center"/>
          </w:tcPr>
          <w:p>
            <w:pPr>
              <w:keepLines/>
              <w:spacing w:after="0" w:line="300" w:lineRule="exact"/>
              <w:jc w:val="center"/>
            </w:pPr>
            <w:r>
              <w:rPr>
                <w:rFonts w:ascii="Times New Roman" w:cs="Times New Roman" w:eastAsia="黑体" w:hAnsi="Times New Roman"/>
                <w:b/>
                <w:bCs/>
                <w:color w:val="000000"/>
                <w:sz w:val="19"/>
                <w:szCs w:val="19"/>
              </w:rPr>
              <w:t xml:space="preserve">时间</w:t>
            </w:r>
          </w:p>
        </w:tc>
        <w:tc>
          <w:tcPr>
            <w:tcW w:type="dxa" w:w="2200"/>
            <w:tcBorders>
              <w:top w:val="single" w:color="000000" w:sz="12"/>
              <w:left w:val="nil" w:color="FFFFFF" w:sz="0"/>
              <w:bottom w:val="single" w:color="000000" w:sz="6"/>
              <w:right w:val="nil" w:color="FFFFFF" w:sz="0"/>
            </w:tcBorders>
            <w:tcMar>
              <w:top w:type="dxa" w:w="80"/>
              <w:left w:type="dxa" w:w="90"/>
              <w:bottom w:type="dxa" w:w="80"/>
              <w:right w:type="dxa" w:w="90"/>
            </w:tcMar>
            <w:vAlign w:val="center"/>
          </w:tcPr>
          <w:p>
            <w:pPr>
              <w:keepLines/>
              <w:spacing w:after="0" w:line="300" w:lineRule="exact"/>
              <w:jc w:val="center"/>
            </w:pPr>
            <w:r>
              <w:rPr>
                <w:rFonts w:ascii="Times New Roman" w:cs="Times New Roman" w:eastAsia="黑体" w:hAnsi="Times New Roman"/>
                <w:b/>
                <w:bCs/>
                <w:color w:val="000000"/>
                <w:sz w:val="19"/>
                <w:szCs w:val="19"/>
              </w:rPr>
              <w:t xml:space="preserve">主要任务</w:t>
            </w:r>
          </w:p>
        </w:tc>
        <w:tc>
          <w:tcPr>
            <w:tcW w:type="dxa" w:w="2200"/>
            <w:tcBorders>
              <w:top w:val="single" w:color="000000" w:sz="12"/>
              <w:left w:val="nil" w:color="FFFFFF" w:sz="0"/>
              <w:bottom w:val="single" w:color="000000" w:sz="6"/>
              <w:right w:val="nil" w:color="FFFFFF" w:sz="0"/>
            </w:tcBorders>
            <w:tcMar>
              <w:top w:type="dxa" w:w="80"/>
              <w:left w:type="dxa" w:w="90"/>
              <w:bottom w:type="dxa" w:w="80"/>
              <w:right w:type="dxa" w:w="90"/>
            </w:tcMar>
            <w:vAlign w:val="center"/>
          </w:tcPr>
          <w:p>
            <w:pPr>
              <w:keepLines/>
              <w:spacing w:after="0" w:line="300" w:lineRule="exact"/>
              <w:jc w:val="center"/>
            </w:pPr>
            <w:r>
              <w:rPr>
                <w:rFonts w:ascii="Times New Roman" w:cs="Times New Roman" w:eastAsia="黑体" w:hAnsi="Times New Roman"/>
                <w:b/>
                <w:bCs/>
                <w:color w:val="000000"/>
                <w:sz w:val="19"/>
                <w:szCs w:val="19"/>
              </w:rPr>
              <w:t xml:space="preserve">阶段成果</w:t>
            </w:r>
          </w:p>
        </w:tc>
        <w:tc>
          <w:tcPr>
            <w:tcW w:type="dxa" w:w="2458"/>
            <w:tcBorders>
              <w:top w:val="single" w:color="000000" w:sz="12"/>
              <w:left w:val="nil" w:color="FFFFFF" w:sz="0"/>
              <w:bottom w:val="single" w:color="000000" w:sz="6"/>
              <w:right w:val="nil" w:color="FFFFFF" w:sz="0"/>
            </w:tcBorders>
            <w:tcMar>
              <w:top w:type="dxa" w:w="80"/>
              <w:left w:type="dxa" w:w="90"/>
              <w:bottom w:type="dxa" w:w="80"/>
              <w:right w:type="dxa" w:w="90"/>
            </w:tcMar>
            <w:vAlign w:val="center"/>
          </w:tcPr>
          <w:p>
            <w:pPr>
              <w:keepLines/>
              <w:spacing w:after="0" w:line="300" w:lineRule="exact"/>
              <w:jc w:val="center"/>
            </w:pPr>
            <w:r>
              <w:rPr>
                <w:rFonts w:ascii="Times New Roman" w:cs="Times New Roman" w:eastAsia="黑体" w:hAnsi="Times New Roman"/>
                <w:b/>
                <w:bCs/>
                <w:color w:val="000000"/>
                <w:sz w:val="19"/>
                <w:szCs w:val="19"/>
              </w:rPr>
              <w:t xml:space="preserve">验收标准</w:t>
            </w:r>
          </w:p>
        </w:tc>
      </w:tr>
      <w:tr>
        <w:trPr>
          <w:cantSplit/>
          <w:tblHeader w:val="false"/>
        </w:trPr>
        <w:tc>
          <w:tcPr>
            <w:tcW w:type="dxa" w:w="950"/>
            <w:tcBorders>
              <w:top w:val="nil" w:color="FFFFFF" w:sz="0"/>
              <w:left w:val="nil" w:color="FFFFFF" w:sz="0"/>
              <w:bottom w:val="nil" w:color="FFFFFF" w:sz="0"/>
              <w:right w:val="nil" w:color="FFFFFF" w:sz="0"/>
            </w:tcBorders>
            <w:tcMar>
              <w:top w:type="dxa" w:w="80"/>
              <w:left w:type="dxa" w:w="90"/>
              <w:bottom w:type="dxa" w:w="80"/>
              <w:right w:type="dxa" w:w="90"/>
            </w:tcMar>
            <w:vAlign w:val="center"/>
          </w:tcPr>
          <w:p>
            <w:pPr>
              <w:keepLines/>
              <w:spacing w:after="0" w:line="300" w:lineRule="exact"/>
              <w:jc w:val="center"/>
            </w:pPr>
            <w:r>
              <w:rPr>
                <w:rFonts w:ascii="Times New Roman" w:cs="Times New Roman" w:eastAsia="宋体" w:hAnsi="Times New Roman"/>
                <w:b w:val="false"/>
                <w:bCs w:val="false"/>
                <w:color w:val="000000"/>
                <w:sz w:val="19"/>
                <w:szCs w:val="19"/>
              </w:rPr>
              <w:t xml:space="preserve">文献与复现准备</w:t>
            </w:r>
          </w:p>
        </w:tc>
        <w:tc>
          <w:tcPr>
            <w:tcW w:type="dxa" w:w="1150"/>
            <w:tcBorders>
              <w:top w:val="nil" w:color="FFFFFF" w:sz="0"/>
              <w:left w:val="nil" w:color="FFFFFF" w:sz="0"/>
              <w:bottom w:val="nil" w:color="FFFFFF" w:sz="0"/>
              <w:right w:val="nil" w:color="FFFFFF" w:sz="0"/>
            </w:tcBorders>
            <w:tcMar>
              <w:top w:type="dxa" w:w="80"/>
              <w:left w:type="dxa" w:w="90"/>
              <w:bottom w:type="dxa" w:w="80"/>
              <w:right w:type="dxa" w:w="90"/>
            </w:tcMar>
            <w:vAlign w:val="center"/>
          </w:tcPr>
          <w:p>
            <w:pPr>
              <w:keepLines/>
              <w:spacing w:after="0" w:line="300" w:lineRule="exact"/>
              <w:jc w:val="both"/>
            </w:pPr>
            <w:r>
              <w:rPr>
                <w:rFonts w:ascii="Times New Roman" w:cs="Times New Roman" w:eastAsia="宋体" w:hAnsi="Times New Roman"/>
                <w:b w:val="false"/>
                <w:bCs w:val="false"/>
                <w:color w:val="000000"/>
                <w:sz w:val="19"/>
                <w:szCs w:val="19"/>
              </w:rPr>
              <w:t xml:space="preserve">第1—4周</w:t>
            </w:r>
          </w:p>
        </w:tc>
        <w:tc>
          <w:tcPr>
            <w:tcW w:type="dxa" w:w="2200"/>
            <w:tcBorders>
              <w:top w:val="nil" w:color="FFFFFF" w:sz="0"/>
              <w:left w:val="nil" w:color="FFFFFF" w:sz="0"/>
              <w:bottom w:val="nil" w:color="FFFFFF" w:sz="0"/>
              <w:right w:val="nil" w:color="FFFFFF" w:sz="0"/>
            </w:tcBorders>
            <w:tcMar>
              <w:top w:type="dxa" w:w="80"/>
              <w:left w:type="dxa" w:w="90"/>
              <w:bottom w:type="dxa" w:w="80"/>
              <w:right w:type="dxa" w:w="90"/>
            </w:tcMar>
            <w:vAlign w:val="center"/>
          </w:tcPr>
          <w:p>
            <w:pPr>
              <w:keepLines/>
              <w:spacing w:after="0" w:line="300" w:lineRule="exact"/>
              <w:jc w:val="both"/>
            </w:pPr>
            <w:r>
              <w:rPr>
                <w:rFonts w:ascii="Times New Roman" w:cs="Times New Roman" w:eastAsia="宋体" w:hAnsi="Times New Roman"/>
                <w:b w:val="false"/>
                <w:bCs w:val="false"/>
                <w:color w:val="000000"/>
                <w:sz w:val="19"/>
                <w:szCs w:val="19"/>
              </w:rPr>
              <w:t xml:space="preserve">阅读导师代表工作与金融事件抽取文献；补 NLP/KG 基础</w:t>
            </w:r>
          </w:p>
        </w:tc>
        <w:tc>
          <w:tcPr>
            <w:tcW w:type="dxa" w:w="2200"/>
            <w:tcBorders>
              <w:top w:val="nil" w:color="FFFFFF" w:sz="0"/>
              <w:left w:val="nil" w:color="FFFFFF" w:sz="0"/>
              <w:bottom w:val="nil" w:color="FFFFFF" w:sz="0"/>
              <w:right w:val="nil" w:color="FFFFFF" w:sz="0"/>
            </w:tcBorders>
            <w:tcMar>
              <w:top w:type="dxa" w:w="80"/>
              <w:left w:type="dxa" w:w="90"/>
              <w:bottom w:type="dxa" w:w="80"/>
              <w:right w:type="dxa" w:w="90"/>
            </w:tcMar>
            <w:vAlign w:val="center"/>
          </w:tcPr>
          <w:p>
            <w:pPr>
              <w:keepLines/>
              <w:spacing w:after="0" w:line="300" w:lineRule="exact"/>
              <w:jc w:val="both"/>
            </w:pPr>
            <w:r>
              <w:rPr>
                <w:rFonts w:ascii="Times New Roman" w:cs="Times New Roman" w:eastAsia="宋体" w:hAnsi="Times New Roman"/>
                <w:b w:val="false"/>
                <w:bCs w:val="false"/>
                <w:color w:val="000000"/>
                <w:sz w:val="19"/>
                <w:szCs w:val="19"/>
              </w:rPr>
              <w:t xml:space="preserve">文献矩阵、术语表、复现环境</w:t>
            </w:r>
          </w:p>
        </w:tc>
        <w:tc>
          <w:tcPr>
            <w:tcW w:type="dxa" w:w="2458"/>
            <w:tcBorders>
              <w:top w:val="nil" w:color="FFFFFF" w:sz="0"/>
              <w:left w:val="nil" w:color="FFFFFF" w:sz="0"/>
              <w:bottom w:val="nil" w:color="FFFFFF" w:sz="0"/>
              <w:right w:val="nil" w:color="FFFFFF" w:sz="0"/>
            </w:tcBorders>
            <w:tcMar>
              <w:top w:type="dxa" w:w="80"/>
              <w:left w:type="dxa" w:w="90"/>
              <w:bottom w:type="dxa" w:w="80"/>
              <w:right w:type="dxa" w:w="90"/>
            </w:tcMar>
            <w:vAlign w:val="center"/>
          </w:tcPr>
          <w:p>
            <w:pPr>
              <w:keepLines/>
              <w:spacing w:after="0" w:line="300" w:lineRule="exact"/>
              <w:jc w:val="both"/>
            </w:pPr>
            <w:r>
              <w:rPr>
                <w:rFonts w:ascii="Times New Roman" w:cs="Times New Roman" w:eastAsia="宋体" w:hAnsi="Times New Roman"/>
                <w:b w:val="false"/>
                <w:bCs w:val="false"/>
                <w:color w:val="000000"/>
                <w:sz w:val="19"/>
                <w:szCs w:val="19"/>
              </w:rPr>
              <w:t xml:space="preserve">研究问题与每个方法选择均有文献依据</w:t>
            </w:r>
          </w:p>
        </w:tc>
      </w:tr>
      <w:tr>
        <w:trPr>
          <w:cantSplit/>
          <w:tblHeader w:val="false"/>
        </w:trPr>
        <w:tc>
          <w:tcPr>
            <w:tcW w:type="dxa" w:w="950"/>
            <w:tcBorders>
              <w:top w:val="nil" w:color="FFFFFF" w:sz="0"/>
              <w:left w:val="nil" w:color="FFFFFF" w:sz="0"/>
              <w:bottom w:val="nil" w:color="FFFFFF" w:sz="0"/>
              <w:right w:val="nil" w:color="FFFFFF" w:sz="0"/>
            </w:tcBorders>
            <w:tcMar>
              <w:top w:type="dxa" w:w="80"/>
              <w:left w:type="dxa" w:w="90"/>
              <w:bottom w:type="dxa" w:w="80"/>
              <w:right w:type="dxa" w:w="90"/>
            </w:tcMar>
            <w:vAlign w:val="center"/>
          </w:tcPr>
          <w:p>
            <w:pPr>
              <w:keepLines/>
              <w:spacing w:after="0" w:line="300" w:lineRule="exact"/>
              <w:jc w:val="center"/>
            </w:pPr>
            <w:r>
              <w:rPr>
                <w:rFonts w:ascii="Times New Roman" w:cs="Times New Roman" w:eastAsia="宋体" w:hAnsi="Times New Roman"/>
                <w:b w:val="false"/>
                <w:bCs w:val="false"/>
                <w:color w:val="000000"/>
                <w:sz w:val="19"/>
                <w:szCs w:val="19"/>
              </w:rPr>
              <w:t xml:space="preserve">数据与抽取基线</w:t>
            </w:r>
          </w:p>
        </w:tc>
        <w:tc>
          <w:tcPr>
            <w:tcW w:type="dxa" w:w="1150"/>
            <w:tcBorders>
              <w:top w:val="nil" w:color="FFFFFF" w:sz="0"/>
              <w:left w:val="nil" w:color="FFFFFF" w:sz="0"/>
              <w:bottom w:val="nil" w:color="FFFFFF" w:sz="0"/>
              <w:right w:val="nil" w:color="FFFFFF" w:sz="0"/>
            </w:tcBorders>
            <w:tcMar>
              <w:top w:type="dxa" w:w="80"/>
              <w:left w:type="dxa" w:w="90"/>
              <w:bottom w:type="dxa" w:w="80"/>
              <w:right w:type="dxa" w:w="90"/>
            </w:tcMar>
            <w:vAlign w:val="center"/>
          </w:tcPr>
          <w:p>
            <w:pPr>
              <w:keepLines/>
              <w:spacing w:after="0" w:line="300" w:lineRule="exact"/>
              <w:jc w:val="both"/>
            </w:pPr>
            <w:r>
              <w:rPr>
                <w:rFonts w:ascii="Times New Roman" w:cs="Times New Roman" w:eastAsia="宋体" w:hAnsi="Times New Roman"/>
                <w:b w:val="false"/>
                <w:bCs w:val="false"/>
                <w:color w:val="000000"/>
                <w:sz w:val="19"/>
                <w:szCs w:val="19"/>
              </w:rPr>
              <w:t xml:space="preserve">第5—8周</w:t>
            </w:r>
          </w:p>
        </w:tc>
        <w:tc>
          <w:tcPr>
            <w:tcW w:type="dxa" w:w="2200"/>
            <w:tcBorders>
              <w:top w:val="nil" w:color="FFFFFF" w:sz="0"/>
              <w:left w:val="nil" w:color="FFFFFF" w:sz="0"/>
              <w:bottom w:val="nil" w:color="FFFFFF" w:sz="0"/>
              <w:right w:val="nil" w:color="FFFFFF" w:sz="0"/>
            </w:tcBorders>
            <w:tcMar>
              <w:top w:type="dxa" w:w="80"/>
              <w:left w:type="dxa" w:w="90"/>
              <w:bottom w:type="dxa" w:w="80"/>
              <w:right w:type="dxa" w:w="90"/>
            </w:tcMar>
            <w:vAlign w:val="center"/>
          </w:tcPr>
          <w:p>
            <w:pPr>
              <w:keepLines/>
              <w:spacing w:after="0" w:line="300" w:lineRule="exact"/>
              <w:jc w:val="both"/>
            </w:pPr>
            <w:r>
              <w:rPr>
                <w:rFonts w:ascii="Times New Roman" w:cs="Times New Roman" w:eastAsia="宋体" w:hAnsi="Times New Roman"/>
                <w:b w:val="false"/>
                <w:bCs w:val="false"/>
                <w:color w:val="000000"/>
                <w:sz w:val="19"/>
                <w:szCs w:val="19"/>
              </w:rPr>
              <w:t xml:space="preserve">读取 DocFEE；建立 schema 和基线；完成误差分层</w:t>
            </w:r>
          </w:p>
        </w:tc>
        <w:tc>
          <w:tcPr>
            <w:tcW w:type="dxa" w:w="2200"/>
            <w:tcBorders>
              <w:top w:val="nil" w:color="FFFFFF" w:sz="0"/>
              <w:left w:val="nil" w:color="FFFFFF" w:sz="0"/>
              <w:bottom w:val="nil" w:color="FFFFFF" w:sz="0"/>
              <w:right w:val="nil" w:color="FFFFFF" w:sz="0"/>
            </w:tcBorders>
            <w:tcMar>
              <w:top w:type="dxa" w:w="80"/>
              <w:left w:type="dxa" w:w="90"/>
              <w:bottom w:type="dxa" w:w="80"/>
              <w:right w:type="dxa" w:w="90"/>
            </w:tcMar>
            <w:vAlign w:val="center"/>
          </w:tcPr>
          <w:p>
            <w:pPr>
              <w:keepLines/>
              <w:spacing w:after="0" w:line="300" w:lineRule="exact"/>
              <w:jc w:val="both"/>
            </w:pPr>
            <w:r>
              <w:rPr>
                <w:rFonts w:ascii="Times New Roman" w:cs="Times New Roman" w:eastAsia="宋体" w:hAnsi="Times New Roman"/>
                <w:b w:val="false"/>
                <w:bCs w:val="false"/>
                <w:color w:val="000000"/>
                <w:sz w:val="19"/>
                <w:szCs w:val="19"/>
              </w:rPr>
              <w:t xml:space="preserve">数据字典、基线结果、误差表</w:t>
            </w:r>
          </w:p>
        </w:tc>
        <w:tc>
          <w:tcPr>
            <w:tcW w:type="dxa" w:w="2458"/>
            <w:tcBorders>
              <w:top w:val="nil" w:color="FFFFFF" w:sz="0"/>
              <w:left w:val="nil" w:color="FFFFFF" w:sz="0"/>
              <w:bottom w:val="nil" w:color="FFFFFF" w:sz="0"/>
              <w:right w:val="nil" w:color="FFFFFF" w:sz="0"/>
            </w:tcBorders>
            <w:tcMar>
              <w:top w:type="dxa" w:w="80"/>
              <w:left w:type="dxa" w:w="90"/>
              <w:bottom w:type="dxa" w:w="80"/>
              <w:right w:type="dxa" w:w="90"/>
            </w:tcMar>
            <w:vAlign w:val="center"/>
          </w:tcPr>
          <w:p>
            <w:pPr>
              <w:keepLines/>
              <w:spacing w:after="0" w:line="300" w:lineRule="exact"/>
              <w:jc w:val="both"/>
            </w:pPr>
            <w:r>
              <w:rPr>
                <w:rFonts w:ascii="Times New Roman" w:cs="Times New Roman" w:eastAsia="宋体" w:hAnsi="Times New Roman"/>
                <w:b w:val="false"/>
                <w:bCs w:val="false"/>
                <w:color w:val="000000"/>
                <w:sz w:val="19"/>
                <w:szCs w:val="19"/>
              </w:rPr>
              <w:t xml:space="preserve">无数据泄漏；事件与论元指标可复现</w:t>
            </w:r>
          </w:p>
        </w:tc>
      </w:tr>
      <w:tr>
        <w:trPr>
          <w:cantSplit/>
          <w:tblHeader w:val="false"/>
        </w:trPr>
        <w:tc>
          <w:tcPr>
            <w:tcW w:type="dxa" w:w="950"/>
            <w:tcBorders>
              <w:top w:val="nil" w:color="FFFFFF" w:sz="0"/>
              <w:left w:val="nil" w:color="FFFFFF" w:sz="0"/>
              <w:bottom w:val="nil" w:color="FFFFFF" w:sz="0"/>
              <w:right w:val="nil" w:color="FFFFFF" w:sz="0"/>
            </w:tcBorders>
            <w:tcMar>
              <w:top w:type="dxa" w:w="80"/>
              <w:left w:type="dxa" w:w="90"/>
              <w:bottom w:type="dxa" w:w="80"/>
              <w:right w:type="dxa" w:w="90"/>
            </w:tcMar>
            <w:vAlign w:val="center"/>
          </w:tcPr>
          <w:p>
            <w:pPr>
              <w:keepLines/>
              <w:spacing w:after="0" w:line="300" w:lineRule="exact"/>
              <w:jc w:val="center"/>
            </w:pPr>
            <w:r>
              <w:rPr>
                <w:rFonts w:ascii="Times New Roman" w:cs="Times New Roman" w:eastAsia="宋体" w:hAnsi="Times New Roman"/>
                <w:b w:val="false"/>
                <w:bCs w:val="false"/>
                <w:color w:val="000000"/>
                <w:sz w:val="19"/>
                <w:szCs w:val="19"/>
              </w:rPr>
              <w:t xml:space="preserve">图谱最小闭环</w:t>
            </w:r>
          </w:p>
        </w:tc>
        <w:tc>
          <w:tcPr>
            <w:tcW w:type="dxa" w:w="1150"/>
            <w:tcBorders>
              <w:top w:val="nil" w:color="FFFFFF" w:sz="0"/>
              <w:left w:val="nil" w:color="FFFFFF" w:sz="0"/>
              <w:bottom w:val="nil" w:color="FFFFFF" w:sz="0"/>
              <w:right w:val="nil" w:color="FFFFFF" w:sz="0"/>
            </w:tcBorders>
            <w:tcMar>
              <w:top w:type="dxa" w:w="80"/>
              <w:left w:type="dxa" w:w="90"/>
              <w:bottom w:type="dxa" w:w="80"/>
              <w:right w:type="dxa" w:w="90"/>
            </w:tcMar>
            <w:vAlign w:val="center"/>
          </w:tcPr>
          <w:p>
            <w:pPr>
              <w:keepLines/>
              <w:spacing w:after="0" w:line="300" w:lineRule="exact"/>
              <w:jc w:val="both"/>
            </w:pPr>
            <w:r>
              <w:rPr>
                <w:rFonts w:ascii="Times New Roman" w:cs="Times New Roman" w:eastAsia="宋体" w:hAnsi="Times New Roman"/>
                <w:b w:val="false"/>
                <w:bCs w:val="false"/>
                <w:color w:val="000000"/>
                <w:sz w:val="19"/>
                <w:szCs w:val="19"/>
              </w:rPr>
              <w:t xml:space="preserve">第9—12周</w:t>
            </w:r>
          </w:p>
        </w:tc>
        <w:tc>
          <w:tcPr>
            <w:tcW w:type="dxa" w:w="2200"/>
            <w:tcBorders>
              <w:top w:val="nil" w:color="FFFFFF" w:sz="0"/>
              <w:left w:val="nil" w:color="FFFFFF" w:sz="0"/>
              <w:bottom w:val="nil" w:color="FFFFFF" w:sz="0"/>
              <w:right w:val="nil" w:color="FFFFFF" w:sz="0"/>
            </w:tcBorders>
            <w:tcMar>
              <w:top w:type="dxa" w:w="80"/>
              <w:left w:type="dxa" w:w="90"/>
              <w:bottom w:type="dxa" w:w="80"/>
              <w:right w:type="dxa" w:w="90"/>
            </w:tcMar>
            <w:vAlign w:val="center"/>
          </w:tcPr>
          <w:p>
            <w:pPr>
              <w:keepLines/>
              <w:spacing w:after="0" w:line="300" w:lineRule="exact"/>
              <w:jc w:val="both"/>
            </w:pPr>
            <w:r>
              <w:rPr>
                <w:rFonts w:ascii="Times New Roman" w:cs="Times New Roman" w:eastAsia="宋体" w:hAnsi="Times New Roman"/>
                <w:b w:val="false"/>
                <w:bCs w:val="false"/>
                <w:color w:val="000000"/>
                <w:sz w:val="19"/>
                <w:szCs w:val="19"/>
              </w:rPr>
              <w:t xml:space="preserve">实体标准化、事件去重、时间与来源建模</w:t>
            </w:r>
          </w:p>
        </w:tc>
        <w:tc>
          <w:tcPr>
            <w:tcW w:type="dxa" w:w="2200"/>
            <w:tcBorders>
              <w:top w:val="nil" w:color="FFFFFF" w:sz="0"/>
              <w:left w:val="nil" w:color="FFFFFF" w:sz="0"/>
              <w:bottom w:val="nil" w:color="FFFFFF" w:sz="0"/>
              <w:right w:val="nil" w:color="FFFFFF" w:sz="0"/>
            </w:tcBorders>
            <w:tcMar>
              <w:top w:type="dxa" w:w="80"/>
              <w:left w:type="dxa" w:w="90"/>
              <w:bottom w:type="dxa" w:w="80"/>
              <w:right w:type="dxa" w:w="90"/>
            </w:tcMar>
            <w:vAlign w:val="center"/>
          </w:tcPr>
          <w:p>
            <w:pPr>
              <w:keepLines/>
              <w:spacing w:after="0" w:line="300" w:lineRule="exact"/>
              <w:jc w:val="both"/>
            </w:pPr>
            <w:r>
              <w:rPr>
                <w:rFonts w:ascii="Times New Roman" w:cs="Times New Roman" w:eastAsia="宋体" w:hAnsi="Times New Roman"/>
                <w:b w:val="false"/>
                <w:bCs w:val="false"/>
                <w:color w:val="000000"/>
                <w:sz w:val="19"/>
                <w:szCs w:val="19"/>
              </w:rPr>
              <w:t xml:space="preserve">图谱 schema、样例子图、质量报告</w:t>
            </w:r>
          </w:p>
        </w:tc>
        <w:tc>
          <w:tcPr>
            <w:tcW w:type="dxa" w:w="2458"/>
            <w:tcBorders>
              <w:top w:val="nil" w:color="FFFFFF" w:sz="0"/>
              <w:left w:val="nil" w:color="FFFFFF" w:sz="0"/>
              <w:bottom w:val="nil" w:color="FFFFFF" w:sz="0"/>
              <w:right w:val="nil" w:color="FFFFFF" w:sz="0"/>
            </w:tcBorders>
            <w:tcMar>
              <w:top w:type="dxa" w:w="80"/>
              <w:left w:type="dxa" w:w="90"/>
              <w:bottom w:type="dxa" w:w="80"/>
              <w:right w:type="dxa" w:w="90"/>
            </w:tcMar>
            <w:vAlign w:val="center"/>
          </w:tcPr>
          <w:p>
            <w:pPr>
              <w:keepLines/>
              <w:spacing w:after="0" w:line="300" w:lineRule="exact"/>
              <w:jc w:val="both"/>
            </w:pPr>
            <w:r>
              <w:rPr>
                <w:rFonts w:ascii="Times New Roman" w:cs="Times New Roman" w:eastAsia="宋体" w:hAnsi="Times New Roman"/>
                <w:b w:val="false"/>
                <w:bCs w:val="false"/>
                <w:color w:val="000000"/>
                <w:sz w:val="19"/>
                <w:szCs w:val="19"/>
              </w:rPr>
              <w:t xml:space="preserve">每个事件可回到公告和原文跨度</w:t>
            </w:r>
          </w:p>
        </w:tc>
      </w:tr>
      <w:tr>
        <w:trPr>
          <w:cantSplit/>
          <w:tblHeader w:val="false"/>
        </w:trPr>
        <w:tc>
          <w:tcPr>
            <w:tcW w:type="dxa" w:w="950"/>
            <w:tcBorders>
              <w:top w:val="nil" w:color="FFFFFF" w:sz="0"/>
              <w:left w:val="nil" w:color="FFFFFF" w:sz="0"/>
              <w:bottom w:val="nil" w:color="FFFFFF" w:sz="0"/>
              <w:right w:val="nil" w:color="FFFFFF" w:sz="0"/>
            </w:tcBorders>
            <w:tcMar>
              <w:top w:type="dxa" w:w="80"/>
              <w:left w:type="dxa" w:w="90"/>
              <w:bottom w:type="dxa" w:w="80"/>
              <w:right w:type="dxa" w:w="90"/>
            </w:tcMar>
            <w:vAlign w:val="center"/>
          </w:tcPr>
          <w:p>
            <w:pPr>
              <w:keepLines/>
              <w:spacing w:after="0" w:line="300" w:lineRule="exact"/>
              <w:jc w:val="center"/>
            </w:pPr>
            <w:r>
              <w:rPr>
                <w:rFonts w:ascii="Times New Roman" w:cs="Times New Roman" w:eastAsia="宋体" w:hAnsi="Times New Roman"/>
                <w:b w:val="false"/>
                <w:bCs w:val="false"/>
                <w:color w:val="000000"/>
                <w:sz w:val="19"/>
                <w:szCs w:val="19"/>
              </w:rPr>
              <w:t xml:space="preserve">风险识别基线</w:t>
            </w:r>
          </w:p>
        </w:tc>
        <w:tc>
          <w:tcPr>
            <w:tcW w:type="dxa" w:w="1150"/>
            <w:tcBorders>
              <w:top w:val="nil" w:color="FFFFFF" w:sz="0"/>
              <w:left w:val="nil" w:color="FFFFFF" w:sz="0"/>
              <w:bottom w:val="nil" w:color="FFFFFF" w:sz="0"/>
              <w:right w:val="nil" w:color="FFFFFF" w:sz="0"/>
            </w:tcBorders>
            <w:tcMar>
              <w:top w:type="dxa" w:w="80"/>
              <w:left w:type="dxa" w:w="90"/>
              <w:bottom w:type="dxa" w:w="80"/>
              <w:right w:type="dxa" w:w="90"/>
            </w:tcMar>
            <w:vAlign w:val="center"/>
          </w:tcPr>
          <w:p>
            <w:pPr>
              <w:keepLines/>
              <w:spacing w:after="0" w:line="300" w:lineRule="exact"/>
              <w:jc w:val="both"/>
            </w:pPr>
            <w:r>
              <w:rPr>
                <w:rFonts w:ascii="Times New Roman" w:cs="Times New Roman" w:eastAsia="宋体" w:hAnsi="Times New Roman"/>
                <w:b w:val="false"/>
                <w:bCs w:val="false"/>
                <w:color w:val="000000"/>
                <w:sz w:val="19"/>
                <w:szCs w:val="19"/>
              </w:rPr>
              <w:t xml:space="preserve">第13—16周</w:t>
            </w:r>
          </w:p>
        </w:tc>
        <w:tc>
          <w:tcPr>
            <w:tcW w:type="dxa" w:w="2200"/>
            <w:tcBorders>
              <w:top w:val="nil" w:color="FFFFFF" w:sz="0"/>
              <w:left w:val="nil" w:color="FFFFFF" w:sz="0"/>
              <w:bottom w:val="nil" w:color="FFFFFF" w:sz="0"/>
              <w:right w:val="nil" w:color="FFFFFF" w:sz="0"/>
            </w:tcBorders>
            <w:tcMar>
              <w:top w:type="dxa" w:w="80"/>
              <w:left w:type="dxa" w:w="90"/>
              <w:bottom w:type="dxa" w:w="80"/>
              <w:right w:type="dxa" w:w="90"/>
            </w:tcMar>
            <w:vAlign w:val="center"/>
          </w:tcPr>
          <w:p>
            <w:pPr>
              <w:keepLines/>
              <w:spacing w:after="0" w:line="300" w:lineRule="exact"/>
              <w:jc w:val="both"/>
            </w:pPr>
            <w:r>
              <w:rPr>
                <w:rFonts w:ascii="Times New Roman" w:cs="Times New Roman" w:eastAsia="宋体" w:hAnsi="Times New Roman"/>
                <w:b w:val="false"/>
                <w:bCs w:val="false"/>
                <w:color w:val="000000"/>
                <w:sz w:val="19"/>
                <w:szCs w:val="19"/>
              </w:rPr>
              <w:t xml:space="preserve">构造演示标签；LR/LightGBM；时间和企业留出</w:t>
            </w:r>
          </w:p>
        </w:tc>
        <w:tc>
          <w:tcPr>
            <w:tcW w:type="dxa" w:w="2200"/>
            <w:tcBorders>
              <w:top w:val="nil" w:color="FFFFFF" w:sz="0"/>
              <w:left w:val="nil" w:color="FFFFFF" w:sz="0"/>
              <w:bottom w:val="nil" w:color="FFFFFF" w:sz="0"/>
              <w:right w:val="nil" w:color="FFFFFF" w:sz="0"/>
            </w:tcBorders>
            <w:tcMar>
              <w:top w:type="dxa" w:w="80"/>
              <w:left w:type="dxa" w:w="90"/>
              <w:bottom w:type="dxa" w:w="80"/>
              <w:right w:type="dxa" w:w="90"/>
            </w:tcMar>
            <w:vAlign w:val="center"/>
          </w:tcPr>
          <w:p>
            <w:pPr>
              <w:keepLines/>
              <w:spacing w:after="0" w:line="300" w:lineRule="exact"/>
              <w:jc w:val="both"/>
            </w:pPr>
            <w:r>
              <w:rPr>
                <w:rFonts w:ascii="Times New Roman" w:cs="Times New Roman" w:eastAsia="宋体" w:hAnsi="Times New Roman"/>
                <w:b w:val="false"/>
                <w:bCs w:val="false"/>
                <w:color w:val="000000"/>
                <w:sz w:val="19"/>
                <w:szCs w:val="19"/>
              </w:rPr>
              <w:t xml:space="preserve">基线指标、校准图、泄漏审查</w:t>
            </w:r>
          </w:p>
        </w:tc>
        <w:tc>
          <w:tcPr>
            <w:tcW w:type="dxa" w:w="2458"/>
            <w:tcBorders>
              <w:top w:val="nil" w:color="FFFFFF" w:sz="0"/>
              <w:left w:val="nil" w:color="FFFFFF" w:sz="0"/>
              <w:bottom w:val="nil" w:color="FFFFFF" w:sz="0"/>
              <w:right w:val="nil" w:color="FFFFFF" w:sz="0"/>
            </w:tcBorders>
            <w:tcMar>
              <w:top w:type="dxa" w:w="80"/>
              <w:left w:type="dxa" w:w="90"/>
              <w:bottom w:type="dxa" w:w="80"/>
              <w:right w:type="dxa" w:w="90"/>
            </w:tcMar>
            <w:vAlign w:val="center"/>
          </w:tcPr>
          <w:p>
            <w:pPr>
              <w:keepLines/>
              <w:spacing w:after="0" w:line="300" w:lineRule="exact"/>
              <w:jc w:val="both"/>
            </w:pPr>
            <w:r>
              <w:rPr>
                <w:rFonts w:ascii="Times New Roman" w:cs="Times New Roman" w:eastAsia="宋体" w:hAnsi="Times New Roman"/>
                <w:b w:val="false"/>
                <w:bCs w:val="false"/>
                <w:color w:val="000000"/>
                <w:sz w:val="19"/>
                <w:szCs w:val="19"/>
              </w:rPr>
              <w:t xml:space="preserve">时间切分严格；结论不写成投资建议</w:t>
            </w:r>
          </w:p>
        </w:tc>
      </w:tr>
      <w:tr>
        <w:trPr>
          <w:cantSplit/>
          <w:tblHeader w:val="false"/>
        </w:trPr>
        <w:tc>
          <w:tcPr>
            <w:tcW w:type="dxa" w:w="950"/>
            <w:tcBorders>
              <w:top w:val="nil" w:color="FFFFFF" w:sz="0"/>
              <w:left w:val="nil" w:color="FFFFFF" w:sz="0"/>
              <w:bottom w:val="nil" w:color="FFFFFF" w:sz="0"/>
              <w:right w:val="nil" w:color="FFFFFF" w:sz="0"/>
            </w:tcBorders>
            <w:tcMar>
              <w:top w:type="dxa" w:w="80"/>
              <w:left w:type="dxa" w:w="90"/>
              <w:bottom w:type="dxa" w:w="80"/>
              <w:right w:type="dxa" w:w="90"/>
            </w:tcMar>
            <w:vAlign w:val="center"/>
          </w:tcPr>
          <w:p>
            <w:pPr>
              <w:keepLines/>
              <w:spacing w:after="0" w:line="300" w:lineRule="exact"/>
              <w:jc w:val="center"/>
            </w:pPr>
            <w:r>
              <w:rPr>
                <w:rFonts w:ascii="Times New Roman" w:cs="Times New Roman" w:eastAsia="宋体" w:hAnsi="Times New Roman"/>
                <w:b w:val="false"/>
                <w:bCs w:val="false"/>
                <w:color w:val="000000"/>
                <w:sz w:val="19"/>
                <w:szCs w:val="19"/>
              </w:rPr>
              <w:t xml:space="preserve">证据增强与消融</w:t>
            </w:r>
          </w:p>
        </w:tc>
        <w:tc>
          <w:tcPr>
            <w:tcW w:type="dxa" w:w="1150"/>
            <w:tcBorders>
              <w:top w:val="nil" w:color="FFFFFF" w:sz="0"/>
              <w:left w:val="nil" w:color="FFFFFF" w:sz="0"/>
              <w:bottom w:val="nil" w:color="FFFFFF" w:sz="0"/>
              <w:right w:val="nil" w:color="FFFFFF" w:sz="0"/>
            </w:tcBorders>
            <w:tcMar>
              <w:top w:type="dxa" w:w="80"/>
              <w:left w:type="dxa" w:w="90"/>
              <w:bottom w:type="dxa" w:w="80"/>
              <w:right w:type="dxa" w:w="90"/>
            </w:tcMar>
            <w:vAlign w:val="center"/>
          </w:tcPr>
          <w:p>
            <w:pPr>
              <w:keepLines/>
              <w:spacing w:after="0" w:line="300" w:lineRule="exact"/>
              <w:jc w:val="both"/>
            </w:pPr>
            <w:r>
              <w:rPr>
                <w:rFonts w:ascii="Times New Roman" w:cs="Times New Roman" w:eastAsia="宋体" w:hAnsi="Times New Roman"/>
                <w:b w:val="false"/>
                <w:bCs w:val="false"/>
                <w:color w:val="000000"/>
                <w:sz w:val="19"/>
                <w:szCs w:val="19"/>
              </w:rPr>
              <w:t xml:space="preserve">第17—20周</w:t>
            </w:r>
          </w:p>
        </w:tc>
        <w:tc>
          <w:tcPr>
            <w:tcW w:type="dxa" w:w="2200"/>
            <w:tcBorders>
              <w:top w:val="nil" w:color="FFFFFF" w:sz="0"/>
              <w:left w:val="nil" w:color="FFFFFF" w:sz="0"/>
              <w:bottom w:val="nil" w:color="FFFFFF" w:sz="0"/>
              <w:right w:val="nil" w:color="FFFFFF" w:sz="0"/>
            </w:tcBorders>
            <w:tcMar>
              <w:top w:type="dxa" w:w="80"/>
              <w:left w:type="dxa" w:w="90"/>
              <w:bottom w:type="dxa" w:w="80"/>
              <w:right w:type="dxa" w:w="90"/>
            </w:tcMar>
            <w:vAlign w:val="center"/>
          </w:tcPr>
          <w:p>
            <w:pPr>
              <w:keepLines/>
              <w:spacing w:after="0" w:line="300" w:lineRule="exact"/>
              <w:jc w:val="both"/>
            </w:pPr>
            <w:r>
              <w:rPr>
                <w:rFonts w:ascii="Times New Roman" w:cs="Times New Roman" w:eastAsia="宋体" w:hAnsi="Times New Roman"/>
                <w:b w:val="false"/>
                <w:bCs w:val="false"/>
                <w:color w:val="000000"/>
                <w:sz w:val="19"/>
                <w:szCs w:val="19"/>
              </w:rPr>
              <w:t xml:space="preserve">加入图特征、路径与原文证据；拒答评价</w:t>
            </w:r>
          </w:p>
        </w:tc>
        <w:tc>
          <w:tcPr>
            <w:tcW w:type="dxa" w:w="2200"/>
            <w:tcBorders>
              <w:top w:val="nil" w:color="FFFFFF" w:sz="0"/>
              <w:left w:val="nil" w:color="FFFFFF" w:sz="0"/>
              <w:bottom w:val="nil" w:color="FFFFFF" w:sz="0"/>
              <w:right w:val="nil" w:color="FFFFFF" w:sz="0"/>
            </w:tcBorders>
            <w:tcMar>
              <w:top w:type="dxa" w:w="80"/>
              <w:left w:type="dxa" w:w="90"/>
              <w:bottom w:type="dxa" w:w="80"/>
              <w:right w:type="dxa" w:w="90"/>
            </w:tcMar>
            <w:vAlign w:val="center"/>
          </w:tcPr>
          <w:p>
            <w:pPr>
              <w:keepLines/>
              <w:spacing w:after="0" w:line="300" w:lineRule="exact"/>
              <w:jc w:val="both"/>
            </w:pPr>
            <w:r>
              <w:rPr>
                <w:rFonts w:ascii="Times New Roman" w:cs="Times New Roman" w:eastAsia="宋体" w:hAnsi="Times New Roman"/>
                <w:b w:val="false"/>
                <w:bCs w:val="false"/>
                <w:color w:val="000000"/>
                <w:sz w:val="19"/>
                <w:szCs w:val="19"/>
              </w:rPr>
              <w:t xml:space="preserve">消融表、覆盖率—风险曲线、案例</w:t>
            </w:r>
          </w:p>
        </w:tc>
        <w:tc>
          <w:tcPr>
            <w:tcW w:type="dxa" w:w="2458"/>
            <w:tcBorders>
              <w:top w:val="nil" w:color="FFFFFF" w:sz="0"/>
              <w:left w:val="nil" w:color="FFFFFF" w:sz="0"/>
              <w:bottom w:val="nil" w:color="FFFFFF" w:sz="0"/>
              <w:right w:val="nil" w:color="FFFFFF" w:sz="0"/>
            </w:tcBorders>
            <w:tcMar>
              <w:top w:type="dxa" w:w="80"/>
              <w:left w:type="dxa" w:w="90"/>
              <w:bottom w:type="dxa" w:w="80"/>
              <w:right w:type="dxa" w:w="90"/>
            </w:tcMar>
            <w:vAlign w:val="center"/>
          </w:tcPr>
          <w:p>
            <w:pPr>
              <w:keepLines/>
              <w:spacing w:after="0" w:line="300" w:lineRule="exact"/>
              <w:jc w:val="both"/>
            </w:pPr>
            <w:r>
              <w:rPr>
                <w:rFonts w:ascii="Times New Roman" w:cs="Times New Roman" w:eastAsia="宋体" w:hAnsi="Times New Roman"/>
                <w:b w:val="false"/>
                <w:bCs w:val="false"/>
                <w:color w:val="000000"/>
                <w:sz w:val="19"/>
                <w:szCs w:val="19"/>
              </w:rPr>
              <w:t xml:space="preserve">增益跨切分复现；低置信预测可拒答</w:t>
            </w:r>
          </w:p>
        </w:tc>
      </w:tr>
      <w:tr>
        <w:trPr>
          <w:cantSplit/>
          <w:tblHeader w:val="false"/>
        </w:trPr>
        <w:tc>
          <w:tcPr>
            <w:tcW w:type="dxa" w:w="950"/>
            <w:tcBorders>
              <w:top w:val="nil" w:color="FFFFFF" w:sz="0"/>
              <w:left w:val="nil" w:color="FFFFFF" w:sz="0"/>
              <w:bottom w:val="single" w:color="000000" w:sz="12"/>
              <w:right w:val="nil" w:color="FFFFFF" w:sz="0"/>
            </w:tcBorders>
            <w:tcMar>
              <w:top w:type="dxa" w:w="80"/>
              <w:left w:type="dxa" w:w="90"/>
              <w:bottom w:type="dxa" w:w="80"/>
              <w:right w:type="dxa" w:w="90"/>
            </w:tcMar>
            <w:vAlign w:val="center"/>
          </w:tcPr>
          <w:p>
            <w:pPr>
              <w:keepLines/>
              <w:spacing w:after="0" w:line="300" w:lineRule="exact"/>
              <w:jc w:val="center"/>
            </w:pPr>
            <w:r>
              <w:rPr>
                <w:rFonts w:ascii="Times New Roman" w:cs="Times New Roman" w:eastAsia="宋体" w:hAnsi="Times New Roman"/>
                <w:b w:val="false"/>
                <w:bCs w:val="false"/>
                <w:color w:val="000000"/>
                <w:sz w:val="19"/>
                <w:szCs w:val="19"/>
              </w:rPr>
              <w:t xml:space="preserve">稳健性与成稿</w:t>
            </w:r>
          </w:p>
        </w:tc>
        <w:tc>
          <w:tcPr>
            <w:tcW w:type="dxa" w:w="1150"/>
            <w:tcBorders>
              <w:top w:val="nil" w:color="FFFFFF" w:sz="0"/>
              <w:left w:val="nil" w:color="FFFFFF" w:sz="0"/>
              <w:bottom w:val="single" w:color="000000" w:sz="12"/>
              <w:right w:val="nil" w:color="FFFFFF" w:sz="0"/>
            </w:tcBorders>
            <w:tcMar>
              <w:top w:type="dxa" w:w="80"/>
              <w:left w:type="dxa" w:w="90"/>
              <w:bottom w:type="dxa" w:w="80"/>
              <w:right w:type="dxa" w:w="90"/>
            </w:tcMar>
            <w:vAlign w:val="center"/>
          </w:tcPr>
          <w:p>
            <w:pPr>
              <w:keepLines/>
              <w:spacing w:after="0" w:line="300" w:lineRule="exact"/>
              <w:jc w:val="both"/>
            </w:pPr>
            <w:r>
              <w:rPr>
                <w:rFonts w:ascii="Times New Roman" w:cs="Times New Roman" w:eastAsia="宋体" w:hAnsi="Times New Roman"/>
                <w:b w:val="false"/>
                <w:bCs w:val="false"/>
                <w:color w:val="000000"/>
                <w:sz w:val="19"/>
                <w:szCs w:val="19"/>
              </w:rPr>
              <w:t xml:space="preserve">第21—24周</w:t>
            </w:r>
          </w:p>
        </w:tc>
        <w:tc>
          <w:tcPr>
            <w:tcW w:type="dxa" w:w="2200"/>
            <w:tcBorders>
              <w:top w:val="nil" w:color="FFFFFF" w:sz="0"/>
              <w:left w:val="nil" w:color="FFFFFF" w:sz="0"/>
              <w:bottom w:val="single" w:color="000000" w:sz="12"/>
              <w:right w:val="nil" w:color="FFFFFF" w:sz="0"/>
            </w:tcBorders>
            <w:tcMar>
              <w:top w:type="dxa" w:w="80"/>
              <w:left w:type="dxa" w:w="90"/>
              <w:bottom w:type="dxa" w:w="80"/>
              <w:right w:type="dxa" w:w="90"/>
            </w:tcMar>
            <w:vAlign w:val="center"/>
          </w:tcPr>
          <w:p>
            <w:pPr>
              <w:keepLines/>
              <w:spacing w:after="0" w:line="300" w:lineRule="exact"/>
              <w:jc w:val="both"/>
            </w:pPr>
            <w:r>
              <w:rPr>
                <w:rFonts w:ascii="Times New Roman" w:cs="Times New Roman" w:eastAsia="宋体" w:hAnsi="Times New Roman"/>
                <w:b w:val="false"/>
                <w:bCs w:val="false"/>
                <w:color w:val="000000"/>
                <w:sz w:val="19"/>
                <w:szCs w:val="19"/>
              </w:rPr>
              <w:t xml:space="preserve">替代 schema/阈值/窗口；统一图表与口径</w:t>
            </w:r>
          </w:p>
        </w:tc>
        <w:tc>
          <w:tcPr>
            <w:tcW w:type="dxa" w:w="2200"/>
            <w:tcBorders>
              <w:top w:val="nil" w:color="FFFFFF" w:sz="0"/>
              <w:left w:val="nil" w:color="FFFFFF" w:sz="0"/>
              <w:bottom w:val="single" w:color="000000" w:sz="12"/>
              <w:right w:val="nil" w:color="FFFFFF" w:sz="0"/>
            </w:tcBorders>
            <w:tcMar>
              <w:top w:type="dxa" w:w="80"/>
              <w:left w:type="dxa" w:w="90"/>
              <w:bottom w:type="dxa" w:w="80"/>
              <w:right w:type="dxa" w:w="90"/>
            </w:tcMar>
            <w:vAlign w:val="center"/>
          </w:tcPr>
          <w:p>
            <w:pPr>
              <w:keepLines/>
              <w:spacing w:after="0" w:line="300" w:lineRule="exact"/>
              <w:jc w:val="both"/>
            </w:pPr>
            <w:r>
              <w:rPr>
                <w:rFonts w:ascii="Times New Roman" w:cs="Times New Roman" w:eastAsia="宋体" w:hAnsi="Times New Roman"/>
                <w:b w:val="false"/>
                <w:bCs w:val="false"/>
                <w:color w:val="000000"/>
                <w:sz w:val="19"/>
                <w:szCs w:val="19"/>
              </w:rPr>
              <w:t xml:space="preserve">研究报告、代码说明、汇报材料</w:t>
            </w:r>
          </w:p>
        </w:tc>
        <w:tc>
          <w:tcPr>
            <w:tcW w:type="dxa" w:w="2458"/>
            <w:tcBorders>
              <w:top w:val="nil" w:color="FFFFFF" w:sz="0"/>
              <w:left w:val="nil" w:color="FFFFFF" w:sz="0"/>
              <w:bottom w:val="single" w:color="000000" w:sz="12"/>
              <w:right w:val="nil" w:color="FFFFFF" w:sz="0"/>
            </w:tcBorders>
            <w:tcMar>
              <w:top w:type="dxa" w:w="80"/>
              <w:left w:type="dxa" w:w="90"/>
              <w:bottom w:type="dxa" w:w="80"/>
              <w:right w:type="dxa" w:w="90"/>
            </w:tcMar>
            <w:vAlign w:val="center"/>
          </w:tcPr>
          <w:p>
            <w:pPr>
              <w:keepLines/>
              <w:spacing w:after="0" w:line="300" w:lineRule="exact"/>
              <w:jc w:val="both"/>
            </w:pPr>
            <w:r>
              <w:rPr>
                <w:rFonts w:ascii="Times New Roman" w:cs="Times New Roman" w:eastAsia="宋体" w:hAnsi="Times New Roman"/>
                <w:b w:val="false"/>
                <w:bCs w:val="false"/>
                <w:color w:val="000000"/>
                <w:sz w:val="19"/>
                <w:szCs w:val="19"/>
              </w:rPr>
              <w:t xml:space="preserve">问题—方法—证据—边界闭合</w:t>
            </w:r>
          </w:p>
        </w:tc>
      </w:tr>
    </w:tbl>
    <w:p>
      <w:pPr>
        <w:spacing w:after="100"/>
      </w:pPr>
    </w:p>
    <w:p>
      <w:pPr>
        <w:keepNext/>
        <w:keepLines/>
        <w:widowControl/>
        <w:spacing w:after="140" w:before="240" w:line="360" w:lineRule="atLeast"/>
        <w:outlineLvl w:val="1"/>
      </w:pPr>
      <w:r>
        <w:rPr>
          <w:rFonts w:ascii="Times New Roman" w:cs="Times New Roman" w:eastAsia="黑体" w:hAnsi="Times New Roman"/>
          <w:b/>
          <w:bCs/>
          <w:color w:val="000000"/>
          <w:sz w:val="28"/>
          <w:szCs w:val="28"/>
        </w:rPr>
        <w:t xml:space="preserve">3.4 可行性与入组后起步方案</w:t>
      </w:r>
    </w:p>
    <w:p>
      <w:pPr>
        <w:widowControl/>
        <w:spacing w:after="80" w:line="440" w:lineRule="exact"/>
        <w:ind w:firstLine="480"/>
        <w:jc w:val="both"/>
      </w:pPr>
      <w:r>
        <w:rPr>
          <w:rFonts w:ascii="Times New Roman" w:cs="Times New Roman" w:eastAsia="宋体" w:hAnsi="Times New Roman"/>
          <w:b w:val="false"/>
          <w:bCs w:val="false"/>
          <w:color w:val="000000"/>
          <w:sz w:val="24"/>
          <w:szCs w:val="24"/>
        </w:rPr>
        <w:t xml:space="preserve">本研究具有三方面可行性。其一，DocFEE、DCFEE 和 Doc2EDAG 提供公开数据、代码或清晰的任务定义，能够从复现开始而非依赖未获授权的内部数据。其二，学生已有 A 股数据和机器学习基础，可以承担数据清洗、透明基线与稳健性分析，同时把 NLP/KG 列为明确补课任务。其三，研究将复杂目标拆成抽取、构图和风险识别三个可验收模块；即使下游任务不成立，上游数据与图谱质量评价仍能形成真实负结果。</w:t>
      </w:r>
    </w:p>
    <w:p>
      <w:pPr>
        <w:widowControl/>
        <w:spacing w:after="80" w:line="440" w:lineRule="exact"/>
        <w:ind w:firstLine="480"/>
        <w:jc w:val="both"/>
      </w:pPr>
      <w:r>
        <w:rPr>
          <w:rFonts w:ascii="Times New Roman" w:cs="Times New Roman" w:eastAsia="宋体" w:hAnsi="Times New Roman"/>
          <w:b w:val="false"/>
          <w:bCs w:val="false"/>
          <w:color w:val="000000"/>
          <w:sz w:val="24"/>
          <w:szCs w:val="24"/>
        </w:rPr>
        <w:t xml:space="preserve">入组后前 30 天完成核心文献矩阵、DocFEE 数据字典和一个透明事件抽取基线；第 31—60 天完成文档级模型复现与分层误差分析；第 61—90 天形成带原文证据的最小事件图谱和图谱质量报告。风险识别与知识增强只在上游质量达到导师确认的阈值后进入，避免将未经核验的抽取噪声包装为应用成果。</w:t>
      </w:r>
    </w:p>
    <w:p>
      <w:pPr>
        <w:keepNext/>
        <w:keepLines/>
        <w:widowControl/>
        <w:spacing w:after="140" w:before="240" w:line="360" w:lineRule="atLeast"/>
        <w:outlineLvl w:val="1"/>
      </w:pPr>
      <w:r>
        <w:rPr>
          <w:rFonts w:ascii="Times New Roman" w:cs="Times New Roman" w:eastAsia="黑体" w:hAnsi="Times New Roman"/>
          <w:b/>
          <w:bCs/>
          <w:color w:val="000000"/>
          <w:sz w:val="28"/>
          <w:szCs w:val="28"/>
        </w:rPr>
        <w:t xml:space="preserve">3.5 与导师研究主线的适配及推进边界</w:t>
      </w:r>
    </w:p>
    <w:p>
      <w:pPr>
        <w:widowControl/>
        <w:spacing w:after="80" w:line="440" w:lineRule="exact"/>
        <w:ind w:firstLine="480"/>
        <w:jc w:val="both"/>
      </w:pPr>
      <w:r>
        <w:rPr>
          <w:rFonts w:ascii="Times New Roman" w:cs="Times New Roman" w:eastAsia="宋体" w:hAnsi="Times New Roman"/>
          <w:b w:val="false"/>
          <w:bCs w:val="false"/>
          <w:color w:val="000000"/>
          <w:sz w:val="24"/>
          <w:szCs w:val="24"/>
        </w:rPr>
        <w:t xml:space="preserve">陈华钧教授公开研究方向包括人工智能、知识图谱、自然语言处理和 AI for Science，近年代表工作涉及动态 schema 构图、知识图谱与大语言模型融合以及专业领域知识增强</w:t>
      </w:r>
      <w:r>
        <w:rPr>
          <w:rFonts w:ascii="Times New Roman" w:cs="Times New Roman" w:eastAsia="宋体" w:hAnsi="Times New Roman"/>
          <w:b w:val="false"/>
          <w:bCs w:val="false"/>
          <w:color w:val="000000"/>
          <w:sz w:val="19"/>
          <w:szCs w:val="19"/>
          <w:vertAlign w:val="superscript"/>
        </w:rPr>
        <w:t xml:space="preserve">[1-4]</w:t>
      </w:r>
      <w:r>
        <w:rPr>
          <w:rFonts w:ascii="Times New Roman" w:cs="Times New Roman" w:eastAsia="宋体" w:hAnsi="Times New Roman"/>
          <w:b w:val="false"/>
          <w:bCs w:val="false"/>
          <w:color w:val="000000"/>
          <w:sz w:val="24"/>
          <w:szCs w:val="24"/>
        </w:rPr>
        <w:t xml:space="preserve">。本计划以金融公告为专业领域载体，将上述方法问题具体化为事件抽取、时间一致性和可追溯推理；同时利用学生已有的 A 股数据、稳健性评价和可解释机器学习训练，形成可执行的前 90 天任务。</w:t>
      </w:r>
    </w:p>
    <w:p>
      <w:pPr>
        <w:widowControl/>
        <w:spacing w:after="80" w:line="440" w:lineRule="exact"/>
        <w:ind w:firstLine="480"/>
        <w:jc w:val="both"/>
      </w:pPr>
      <w:r>
        <w:rPr>
          <w:rFonts w:ascii="Times New Roman" w:cs="Times New Roman" w:eastAsia="宋体" w:hAnsi="Times New Roman"/>
          <w:b w:val="false"/>
          <w:bCs w:val="false"/>
          <w:color w:val="000000"/>
          <w:sz w:val="24"/>
          <w:szCs w:val="24"/>
        </w:rPr>
        <w:t xml:space="preserve">本选题是基于公开主线形成的导师讨论模板，不代表导师已确定该课题。正式研究对象、数据、模型深度和成果形式应在交流后共同确认；如导师更关注通用知识图谱构建，本计划可保留事件抽取和证据链主线，弱化金融风险任务；如数据条件不足，则限定为公开数据复现与图谱质量研究。</w:t>
      </w:r>
    </w:p>
    <w:p>
      <w:pPr>
        <w:keepNext/>
        <w:keepLines/>
        <w:widowControl/>
        <w:spacing w:after="140" w:before="240" w:line="360" w:lineRule="atLeast"/>
        <w:outlineLvl w:val="1"/>
      </w:pPr>
      <w:r>
        <w:rPr>
          <w:rFonts w:ascii="Times New Roman" w:cs="Times New Roman" w:eastAsia="黑体" w:hAnsi="Times New Roman"/>
          <w:b/>
          <w:bCs/>
          <w:color w:val="000000"/>
          <w:sz w:val="28"/>
          <w:szCs w:val="28"/>
        </w:rPr>
        <w:t xml:space="preserve">3.6 预期成果</w:t>
      </w:r>
    </w:p>
    <w:p>
      <w:pPr>
        <w:widowControl/>
        <w:spacing w:after="80" w:line="440" w:lineRule="exact"/>
        <w:ind w:firstLine="480"/>
        <w:jc w:val="both"/>
      </w:pPr>
      <w:r>
        <w:rPr>
          <w:rFonts w:ascii="Times New Roman" w:cs="Times New Roman" w:eastAsia="宋体" w:hAnsi="Times New Roman"/>
          <w:b w:val="false"/>
          <w:bCs w:val="false"/>
          <w:color w:val="000000"/>
          <w:sz w:val="24"/>
          <w:szCs w:val="24"/>
        </w:rPr>
        <w:t xml:space="preserve">预期形成一套金融事件 schema 与数据字典、一个可复现的文档级事件抽取基线、一个保留时间与原文来源的最小事件知识图谱、一组时间外推和选择性风险识别实验，以及包含失败结果和结论边界的研究报告。代码、配置、数据处理说明和不含受限数据的样例可作为复现材料保存。</w:t>
      </w:r>
    </w:p>
    <w:p>
      <w:pPr>
        <w:keepNext/>
        <w:keepLines/>
        <w:widowControl/>
        <w:spacing w:after="240" w:before="120" w:line="360" w:lineRule="atLeast"/>
        <w:outlineLvl w:val="0"/>
      </w:pPr>
      <w:r>
        <w:rPr>
          <w:rFonts w:ascii="Times New Roman" w:cs="Times New Roman" w:eastAsia="黑体" w:hAnsi="Times New Roman"/>
          <w:b/>
          <w:bCs/>
          <w:color w:val="000000"/>
          <w:sz w:val="32"/>
          <w:szCs w:val="32"/>
        </w:rPr>
        <w:t xml:space="preserve">参考文献</w:t>
      </w:r>
    </w:p>
    <w:p>
      <w:pPr>
        <w:widowControl/>
        <w:spacing w:after="40" w:line="360" w:lineRule="exact"/>
        <w:ind w:left="480" w:hanging="480"/>
        <w:jc w:val="both"/>
      </w:pPr>
      <w:r>
        <w:rPr>
          <w:rFonts w:ascii="Times New Roman" w:cs="Times New Roman" w:eastAsia="宋体" w:hAnsi="Times New Roman"/>
          <w:b w:val="false"/>
          <w:bCs w:val="false"/>
          <w:color w:val="000000"/>
          <w:sz w:val="21"/>
          <w:szCs w:val="21"/>
        </w:rPr>
        <w:t xml:space="preserve">[1]</w:t>
      </w:r>
      <w:r>
        <w:rPr>
          <w:rFonts w:ascii="Times New Roman" w:cs="Times New Roman" w:eastAsia="宋体" w:hAnsi="Times New Roman"/>
          <w:b w:val="false"/>
          <w:bCs w:val="false"/>
          <w:color w:val="000000"/>
          <w:sz w:val="21"/>
          <w:szCs w:val="21"/>
        </w:rPr>
        <w:t xml:space="preserve"> Guo L, Zhang Y, Bo Z, et al. K-ON: Stacking Knowledge on the Head Layer of Large Language Model[C]//Proceedings of the AAAI Conference on Artificial Intelligence. 2025, 39(11): 11745-11753. DOI: 10.1609/aaai.v39i11.33278.</w:t>
      </w:r>
    </w:p>
    <w:p>
      <w:pPr>
        <w:widowControl/>
        <w:spacing w:after="40" w:line="360" w:lineRule="exact"/>
        <w:ind w:left="480" w:hanging="480"/>
        <w:jc w:val="both"/>
      </w:pPr>
      <w:r>
        <w:rPr>
          <w:rFonts w:ascii="Times New Roman" w:cs="Times New Roman" w:eastAsia="宋体" w:hAnsi="Times New Roman"/>
          <w:b w:val="false"/>
          <w:bCs w:val="false"/>
          <w:color w:val="000000"/>
          <w:sz w:val="21"/>
          <w:szCs w:val="21"/>
        </w:rPr>
        <w:t xml:space="preserve">[2]</w:t>
      </w:r>
      <w:r>
        <w:rPr>
          <w:rFonts w:ascii="Times New Roman" w:cs="Times New Roman" w:eastAsia="宋体" w:hAnsi="Times New Roman"/>
          <w:b w:val="false"/>
          <w:bCs w:val="false"/>
          <w:color w:val="000000"/>
          <w:sz w:val="21"/>
          <w:szCs w:val="21"/>
        </w:rPr>
        <w:t xml:space="preserve"> Liang L, Sun M, Gui Z, et al. KAG: Boosting LLMs in Professional Domains via Knowledge Augmented Generation[EB/OL]. arXiv:2409.13731, 2024.</w:t>
      </w:r>
    </w:p>
    <w:p>
      <w:pPr>
        <w:widowControl/>
        <w:spacing w:after="40" w:line="360" w:lineRule="exact"/>
        <w:ind w:left="480" w:hanging="480"/>
        <w:jc w:val="both"/>
      </w:pPr>
      <w:r>
        <w:rPr>
          <w:rFonts w:ascii="Times New Roman" w:cs="Times New Roman" w:eastAsia="宋体" w:hAnsi="Times New Roman"/>
          <w:b w:val="false"/>
          <w:bCs w:val="false"/>
          <w:color w:val="000000"/>
          <w:sz w:val="21"/>
          <w:szCs w:val="21"/>
        </w:rPr>
        <w:t xml:space="preserve">[3]</w:t>
      </w:r>
      <w:r>
        <w:rPr>
          <w:rFonts w:ascii="Times New Roman" w:cs="Times New Roman" w:eastAsia="宋体" w:hAnsi="Times New Roman"/>
          <w:b w:val="false"/>
          <w:bCs w:val="false"/>
          <w:color w:val="000000"/>
          <w:sz w:val="21"/>
          <w:szCs w:val="21"/>
        </w:rPr>
        <w:t xml:space="preserve"> Ye H, Gui H, Xu X, et al. Schema-adaptable Knowledge Graph Construction[C]//Findings of the Association for Computational Linguistics: EMNLP 2023. 2023.</w:t>
      </w:r>
    </w:p>
    <w:p>
      <w:pPr>
        <w:widowControl/>
        <w:spacing w:after="40" w:line="360" w:lineRule="exact"/>
        <w:ind w:left="480" w:hanging="480"/>
        <w:jc w:val="both"/>
      </w:pPr>
      <w:r>
        <w:rPr>
          <w:rFonts w:ascii="Times New Roman" w:cs="Times New Roman" w:eastAsia="宋体" w:hAnsi="Times New Roman"/>
          <w:b w:val="false"/>
          <w:bCs w:val="false"/>
          <w:color w:val="000000"/>
          <w:sz w:val="21"/>
          <w:szCs w:val="21"/>
        </w:rPr>
        <w:t xml:space="preserve">[4]</w:t>
      </w:r>
      <w:r>
        <w:rPr>
          <w:rFonts w:ascii="Times New Roman" w:cs="Times New Roman" w:eastAsia="宋体" w:hAnsi="Times New Roman"/>
          <w:b w:val="false"/>
          <w:bCs w:val="false"/>
          <w:color w:val="000000"/>
          <w:sz w:val="21"/>
          <w:szCs w:val="21"/>
        </w:rPr>
        <w:t xml:space="preserve"> Bi Z, Chen J, Jiang Y, et al. CodeKGC: Code Language Model for Generative Knowledge Graph Construction[J]. ACM Transactions on Asian and Low-Resource Language Information Processing, 2024.</w:t>
      </w:r>
    </w:p>
    <w:p>
      <w:pPr>
        <w:widowControl/>
        <w:spacing w:after="40" w:line="360" w:lineRule="exact"/>
        <w:ind w:left="480" w:hanging="480"/>
        <w:jc w:val="both"/>
      </w:pPr>
      <w:r>
        <w:rPr>
          <w:rFonts w:ascii="Times New Roman" w:cs="Times New Roman" w:eastAsia="宋体" w:hAnsi="Times New Roman"/>
          <w:b w:val="false"/>
          <w:bCs w:val="false"/>
          <w:color w:val="000000"/>
          <w:sz w:val="21"/>
          <w:szCs w:val="21"/>
        </w:rPr>
        <w:t xml:space="preserve">[5]</w:t>
      </w:r>
      <w:r>
        <w:rPr>
          <w:rFonts w:ascii="Times New Roman" w:cs="Times New Roman" w:eastAsia="宋体" w:hAnsi="Times New Roman"/>
          <w:b w:val="false"/>
          <w:bCs w:val="false"/>
          <w:color w:val="000000"/>
          <w:sz w:val="21"/>
          <w:szCs w:val="21"/>
        </w:rPr>
        <w:t xml:space="preserve"> Yang H, Chen Y, Liu K, et al. DCFEE: A Document-level Chinese Financial Event Extraction System based on Automatically Labeled Training Data[C]//Proceedings of ACL 2018, System Demonstrations. 2018: 50-55. DOI: 10.18653/v1/P18-4009.</w:t>
      </w:r>
    </w:p>
    <w:p>
      <w:pPr>
        <w:widowControl/>
        <w:spacing w:after="40" w:line="360" w:lineRule="exact"/>
        <w:ind w:left="480" w:hanging="480"/>
        <w:jc w:val="both"/>
      </w:pPr>
      <w:r>
        <w:rPr>
          <w:rFonts w:ascii="Times New Roman" w:cs="Times New Roman" w:eastAsia="宋体" w:hAnsi="Times New Roman"/>
          <w:b w:val="false"/>
          <w:bCs w:val="false"/>
          <w:color w:val="000000"/>
          <w:sz w:val="21"/>
          <w:szCs w:val="21"/>
        </w:rPr>
        <w:t xml:space="preserve">[6]</w:t>
      </w:r>
      <w:r>
        <w:rPr>
          <w:rFonts w:ascii="Times New Roman" w:cs="Times New Roman" w:eastAsia="宋体" w:hAnsi="Times New Roman"/>
          <w:b w:val="false"/>
          <w:bCs w:val="false"/>
          <w:color w:val="000000"/>
          <w:sz w:val="21"/>
          <w:szCs w:val="21"/>
        </w:rPr>
        <w:t xml:space="preserve"> Zheng S, Cao W, Xu W, et al. Doc2EDAG: An End-to-End Document-level Framework for Chinese Financial Event Extraction[C]//Proceedings of EMNLP-IJCNLP 2019. 2019: 337-346. DOI: 10.18653/v1/D19-1032.</w:t>
      </w:r>
    </w:p>
    <w:p>
      <w:pPr>
        <w:widowControl/>
        <w:spacing w:after="40" w:line="360" w:lineRule="exact"/>
        <w:ind w:left="480" w:hanging="480"/>
        <w:jc w:val="both"/>
      </w:pPr>
      <w:r>
        <w:rPr>
          <w:rFonts w:ascii="Times New Roman" w:cs="Times New Roman" w:eastAsia="宋体" w:hAnsi="Times New Roman"/>
          <w:b w:val="false"/>
          <w:bCs w:val="false"/>
          <w:color w:val="000000"/>
          <w:sz w:val="21"/>
          <w:szCs w:val="21"/>
        </w:rPr>
        <w:t xml:space="preserve">[7]</w:t>
      </w:r>
      <w:r>
        <w:rPr>
          <w:rFonts w:ascii="Times New Roman" w:cs="Times New Roman" w:eastAsia="宋体" w:hAnsi="Times New Roman"/>
          <w:b w:val="false"/>
          <w:bCs w:val="false"/>
          <w:color w:val="000000"/>
          <w:sz w:val="21"/>
          <w:szCs w:val="21"/>
        </w:rPr>
        <w:t xml:space="preserve"> Chen Y, Zhou T, Li S, et al. A dataset for document level Chinese financial event extraction[J]. Scientific Data, 2025, 12: 772. DOI: 10.1038/s41597-025-05083-9.</w:t>
      </w:r>
    </w:p>
    <w:p>
      <w:pPr>
        <w:widowControl/>
        <w:spacing w:after="40" w:line="360" w:lineRule="exact"/>
        <w:ind w:left="480" w:hanging="480"/>
        <w:jc w:val="both"/>
      </w:pPr>
      <w:r>
        <w:rPr>
          <w:rFonts w:ascii="Times New Roman" w:cs="Times New Roman" w:eastAsia="宋体" w:hAnsi="Times New Roman"/>
          <w:b w:val="false"/>
          <w:bCs w:val="false"/>
          <w:color w:val="000000"/>
          <w:sz w:val="21"/>
          <w:szCs w:val="21"/>
        </w:rPr>
        <w:t xml:space="preserve">[8]</w:t>
      </w:r>
      <w:r>
        <w:rPr>
          <w:rFonts w:ascii="Times New Roman" w:cs="Times New Roman" w:eastAsia="宋体" w:hAnsi="Times New Roman"/>
          <w:b w:val="false"/>
          <w:bCs w:val="false"/>
          <w:color w:val="000000"/>
          <w:sz w:val="21"/>
          <w:szCs w:val="21"/>
        </w:rPr>
        <w:t xml:space="preserve"> Yao Y, Ye D, Li P, et al. DocRED: A Large-Scale Document-Level Relation Extraction Dataset[C]//Proceedings of ACL 2019. 2019: 764-777. DOI: 10.18653/v1/P19-1074.</w:t>
      </w:r>
    </w:p>
    <w:p>
      <w:pPr>
        <w:widowControl/>
        <w:spacing w:after="40" w:line="360" w:lineRule="exact"/>
        <w:ind w:left="480" w:hanging="480"/>
        <w:jc w:val="both"/>
      </w:pPr>
      <w:r>
        <w:rPr>
          <w:rFonts w:ascii="Times New Roman" w:cs="Times New Roman" w:eastAsia="宋体" w:hAnsi="Times New Roman"/>
          <w:b w:val="false"/>
          <w:bCs w:val="false"/>
          <w:color w:val="000000"/>
          <w:sz w:val="21"/>
          <w:szCs w:val="21"/>
        </w:rPr>
        <w:t xml:space="preserve">[9]</w:t>
      </w:r>
      <w:r>
        <w:rPr>
          <w:rFonts w:ascii="Times New Roman" w:cs="Times New Roman" w:eastAsia="宋体" w:hAnsi="Times New Roman"/>
          <w:b w:val="false"/>
          <w:bCs w:val="false"/>
          <w:color w:val="000000"/>
          <w:sz w:val="21"/>
          <w:szCs w:val="21"/>
        </w:rPr>
        <w:t xml:space="preserve"> Chen K, Wang Y, Li Y, et al. A Unified Temporal Knowledge Graph Reasoning Model Towards Interpolation and Extrapolation[C]//Proceedings of ACL 2024. 2024: 117-132. DOI: 10.18653/v1/2024.acl-long.8.</w:t>
      </w:r>
    </w:p>
    <w:p>
      <w:pPr>
        <w:widowControl/>
        <w:spacing w:after="40" w:line="360" w:lineRule="exact"/>
        <w:ind w:left="480" w:hanging="480"/>
        <w:jc w:val="both"/>
      </w:pPr>
      <w:r>
        <w:rPr>
          <w:rFonts w:ascii="Times New Roman" w:cs="Times New Roman" w:eastAsia="宋体" w:hAnsi="Times New Roman"/>
          <w:b w:val="false"/>
          <w:bCs w:val="false"/>
          <w:color w:val="000000"/>
          <w:sz w:val="21"/>
          <w:szCs w:val="21"/>
        </w:rPr>
        <w:t xml:space="preserve">[10]</w:t>
      </w:r>
      <w:r>
        <w:rPr>
          <w:rFonts w:ascii="Times New Roman" w:cs="Times New Roman" w:eastAsia="宋体" w:hAnsi="Times New Roman"/>
          <w:b w:val="false"/>
          <w:bCs w:val="false"/>
          <w:color w:val="000000"/>
          <w:sz w:val="21"/>
          <w:szCs w:val="21"/>
        </w:rPr>
        <w:t xml:space="preserve"> Hou Z, Jin X, Li Z, et al. Selective Temporal Knowledge Graph Reasoning[C]//Proceedings of LREC-COLING 2024. 2024: 14555-14566.</w:t>
      </w:r>
    </w:p>
    <w:p>
      <w:pPr>
        <w:widowControl/>
        <w:spacing w:after="40" w:line="360" w:lineRule="exact"/>
        <w:ind w:left="480" w:hanging="480"/>
        <w:jc w:val="both"/>
      </w:pPr>
      <w:r>
        <w:rPr>
          <w:rFonts w:ascii="Times New Roman" w:cs="Times New Roman" w:eastAsia="宋体" w:hAnsi="Times New Roman"/>
          <w:b w:val="false"/>
          <w:bCs w:val="false"/>
          <w:color w:val="000000"/>
          <w:sz w:val="21"/>
          <w:szCs w:val="21"/>
        </w:rPr>
        <w:t xml:space="preserve">[11]</w:t>
      </w:r>
      <w:r>
        <w:rPr>
          <w:rFonts w:ascii="Times New Roman" w:cs="Times New Roman" w:eastAsia="宋体" w:hAnsi="Times New Roman"/>
          <w:b w:val="false"/>
          <w:bCs w:val="false"/>
          <w:color w:val="000000"/>
          <w:sz w:val="21"/>
          <w:szCs w:val="21"/>
        </w:rPr>
        <w:t xml:space="preserve"> Jin W, Qu M, Jin X, et al. Recurrent Event Network: Autoregressive Structure Inference over Temporal Knowledge Graphs[C]//Proceedings of EMNLP 2020. 2020: 6669-6683. DOI: 10.18653/v1/2020.emnlp-main.541.</w:t>
      </w:r>
    </w:p>
    <w:p>
      <w:pPr>
        <w:widowControl/>
        <w:spacing w:after="40" w:line="360" w:lineRule="exact"/>
        <w:ind w:left="480" w:hanging="480"/>
        <w:jc w:val="both"/>
      </w:pPr>
      <w:r>
        <w:rPr>
          <w:rFonts w:ascii="Times New Roman" w:cs="Times New Roman" w:eastAsia="宋体" w:hAnsi="Times New Roman"/>
          <w:b w:val="false"/>
          <w:bCs w:val="false"/>
          <w:color w:val="000000"/>
          <w:sz w:val="21"/>
          <w:szCs w:val="21"/>
        </w:rPr>
        <w:t xml:space="preserve">[12]</w:t>
      </w:r>
      <w:r>
        <w:rPr>
          <w:rFonts w:ascii="Times New Roman" w:cs="Times New Roman" w:eastAsia="宋体" w:hAnsi="Times New Roman"/>
          <w:b w:val="false"/>
          <w:bCs w:val="false"/>
          <w:color w:val="000000"/>
          <w:sz w:val="21"/>
          <w:szCs w:val="21"/>
        </w:rPr>
        <w:t xml:space="preserve"> Chen Z, Chen W, Smiley C, et al. FinQA: A Dataset of Numerical Reasoning over Financial Data[C]//Proceedings of EMNLP 2021. 2021: 3697-3711. DOI: 10.18653/v1/2021.emnlp-main.300.</w:t>
      </w:r>
    </w:p>
    <w:sectPr>
      <w:headerReference w:type="default" r:id="rId11"/>
      <w:footerReference w:type="default" r:id="rId12"/>
      <w:type w:val="nextPage"/>
      <w:pgSz w:w="11906" w:h="16838" w:orient="portrait"/>
      <w:pgMar w:top="1417" w:right="1474" w:bottom="1417" w:left="1474" w:header="720" w:footer="72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宋体" w:hAnsi="Times New Roman"/>
        <w:b w:val="false"/>
        <w:bCs w:val="false"/>
        <w:color w:val="000000"/>
        <w:sz w:val="18"/>
        <w:szCs w:val="18"/>
      </w:rPr>
      <w:t xml:space="preserve">—  </w:t>
    </w:r>
    <w:r>
      <w:rPr>
        <w:rFonts w:ascii="Times New Roman" w:cs="Times New Roman" w:eastAsia="宋体" w:hAnsi="Times New Roman"/>
        <w:color w:val="000000"/>
        <w:sz w:val="18"/>
        <w:szCs w:val="18"/>
      </w:rPr>
      <w:fldChar w:fldCharType="begin"/>
      <w:instrText xml:space="preserve">PAGE</w:instrText>
      <w:fldChar w:fldCharType="separate"/>
      <w:fldChar w:fldCharType="end"/>
    </w:r>
    <w:r>
      <w:rPr>
        <w:rFonts w:ascii="Times New Roman" w:cs="Times New Roman" w:eastAsia="宋体" w:hAnsi="Times New Roman"/>
        <w:b w:val="false"/>
        <w:bCs w:val="false"/>
        <w:color w:val="000000"/>
        <w:sz w:val="18"/>
        <w:szCs w:val="1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宋体" w:hAnsi="Times New Roman"/>
        <w:b w:val="false"/>
        <w:bCs w:val="false"/>
        <w:color w:val="000000"/>
        <w:sz w:val="18"/>
        <w:szCs w:val="18"/>
      </w:rPr>
      <w:t xml:space="preserve">—  </w:t>
    </w:r>
    <w:r>
      <w:rPr>
        <w:rFonts w:ascii="Times New Roman" w:cs="Times New Roman" w:eastAsia="宋体" w:hAnsi="Times New Roman"/>
        <w:color w:val="000000"/>
        <w:sz w:val="18"/>
        <w:szCs w:val="18"/>
      </w:rPr>
      <w:fldChar w:fldCharType="begin"/>
      <w:instrText xml:space="preserve">PAGE</w:instrText>
      <w:fldChar w:fldCharType="separate"/>
      <w:fldChar w:fldCharType="end"/>
    </w:r>
    <w:r>
      <w:rPr>
        <w:rFonts w:ascii="Times New Roman" w:cs="Times New Roman" w:eastAsia="宋体" w:hAnsi="Times New Roman"/>
        <w:b w:val="false"/>
        <w:bCs w:val="false"/>
        <w:color w:val="000000"/>
        <w:sz w:val="18"/>
        <w:szCs w:val="18"/>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宋体" w:hAnsi="Times New Roman"/>
        <w:b w:val="false"/>
        <w:bCs w:val="false"/>
        <w:color w:val="000000"/>
        <w:sz w:val="18"/>
        <w:szCs w:val="18"/>
      </w:rPr>
      <w:t xml:space="preserve">—  </w:t>
    </w:r>
    <w:r>
      <w:rPr>
        <w:rFonts w:ascii="Times New Roman" w:cs="Times New Roman" w:eastAsia="宋体" w:hAnsi="Times New Roman"/>
        <w:color w:val="000000"/>
        <w:sz w:val="18"/>
        <w:szCs w:val="18"/>
      </w:rPr>
      <w:fldChar w:fldCharType="begin"/>
      <w:instrText xml:space="preserve">PAGE</w:instrText>
      <w:fldChar w:fldCharType="separate"/>
      <w:fldChar w:fldCharType="end"/>
    </w:r>
    <w:r>
      <w:rPr>
        <w:rFonts w:ascii="Times New Roman" w:cs="Times New Roman" w:eastAsia="宋体" w:hAnsi="Times New Roman"/>
        <w:b w:val="false"/>
        <w:bCs w:val="false"/>
        <w:color w:val="000000"/>
        <w:sz w:val="18"/>
        <w:szCs w:val="18"/>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00000" w:sz="3" w:space="4"/>
      </w:pBdr>
      <w:spacing w:after="80"/>
      <w:jc w:val="center"/>
    </w:pPr>
    <w:r>
      <w:rPr>
        <w:rFonts w:ascii="Times New Roman" w:cs="Times New Roman" w:eastAsia="宋体" w:hAnsi="Times New Roman"/>
        <w:b w:val="false"/>
        <w:bCs w:val="false"/>
        <w:color w:val="000000"/>
        <w:sz w:val="18"/>
        <w:szCs w:val="18"/>
      </w:rPr>
      <w:t xml:space="preserve">研究计划</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00000" w:sz="3" w:space="4"/>
      </w:pBdr>
      <w:spacing w:after="80"/>
      <w:jc w:val="center"/>
    </w:pPr>
    <w:r>
      <w:rPr>
        <w:rFonts w:ascii="Times New Roman" w:cs="Times New Roman" w:eastAsia="宋体" w:hAnsi="Times New Roman"/>
        <w:b w:val="false"/>
        <w:bCs w:val="false"/>
        <w:color w:val="000000"/>
        <w:sz w:val="18"/>
        <w:szCs w:val="18"/>
      </w:rPr>
      <w:t xml:space="preserve">研究计划</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00000" w:sz="3" w:space="4"/>
      </w:pBdr>
      <w:spacing w:after="80"/>
      <w:jc w:val="center"/>
    </w:pPr>
    <w:r>
      <w:rPr>
        <w:rFonts w:ascii="Times New Roman" w:cs="Times New Roman" w:eastAsia="宋体" w:hAnsi="Times New Roman"/>
        <w:b w:val="false"/>
        <w:bCs w:val="false"/>
        <w:color w:val="000000"/>
        <w:sz w:val="18"/>
        <w:szCs w:val="18"/>
      </w:rPr>
      <w:t xml:space="preserve">研究计划</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color w:val="000000"/>
        <w:sz w:val="24"/>
        <w:szCs w:val="24"/>
      </w:rPr>
    </w:rPrDefault>
    <w:pPrDefault>
      <w:pPr>
        <w:spacing w:line="440" w:lineRule="exac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image" Target="media/7d9215bbf4fafc7b85c73dc8eb9b1b7b78a3bad8.png"/><Relationship Id="rId14" Type="http://schemas.openxmlformats.org/officeDocument/2006/relationships/image" Target="media/7e053349f7e931551724b431f0590f312ebe6e92.png"/><Relationship Id="rId15" Type="http://schemas.openxmlformats.org/officeDocument/2006/relationships/image" Target="media/db6ce4c22ecf29f3dc42c0049ac53097cf6ae358.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研究计划：面向上市公司公告风险识别的金融事件知识图谱构建与证据增强推理研究</dc:title>
  <dc:creator>Codex</dc:creator>
  <dc:description>真实导师、脱敏学生的学术研究计划模板</dc:description>
  <cp:lastModifiedBy>Un-named</cp:lastModifiedBy>
  <cp:revision>1</cp:revision>
  <dcterms:created xsi:type="dcterms:W3CDTF">2026-08-24T05:58:39.640Z</dcterms:created>
  <dcterms:modified xsi:type="dcterms:W3CDTF">2026-08-24T05:58:39.641Z</dcterms:modified>
</cp:coreProperties>
</file>

<file path=docProps/custom.xml><?xml version="1.0" encoding="utf-8"?>
<Properties xmlns="http://schemas.openxmlformats.org/officeDocument/2006/custom-properties" xmlns:vt="http://schemas.openxmlformats.org/officeDocument/2006/docPropsVTypes"/>
</file>